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61" w:rsidRDefault="00D40C61" w:rsidP="00D40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C61" w:rsidRDefault="00D40C61" w:rsidP="00D40C61">
      <w:pPr>
        <w:widowControl w:val="0"/>
        <w:autoSpaceDE w:val="0"/>
        <w:autoSpaceDN w:val="0"/>
        <w:adjustRightInd w:val="0"/>
      </w:pPr>
      <w:r>
        <w:t xml:space="preserve">SOURCE:  Emergency rule at 4 Ill. Reg. 2, p. 237, effective January 1, 1980, for a maximum of 150 days; adopted at 4 Ill. Reg. 23, p. 71, effective May 28, 1980; codified at 8 Ill. Reg. 13670; Part recodified at 10 Ill. Reg. 18002; Part repealed, new Part adopted at 11 Ill. Reg. 16472, effective October 1, 1987; amended at 18 Ill. Reg. 11162, effective July 1, 1994. </w:t>
      </w:r>
      <w:r>
        <w:tab/>
      </w:r>
    </w:p>
    <w:sectPr w:rsidR="00D40C61" w:rsidSect="00D40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C61"/>
    <w:rsid w:val="001141E9"/>
    <w:rsid w:val="004E620A"/>
    <w:rsid w:val="00CF1F7E"/>
    <w:rsid w:val="00D04B3F"/>
    <w:rsid w:val="00D4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at 4 Ill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at 4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