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50" w:rsidRDefault="00576B50" w:rsidP="00576B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B50" w:rsidRDefault="00576B50" w:rsidP="00576B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1225.1235  Changed Suspended Matter</w:t>
      </w:r>
      <w:r>
        <w:t xml:space="preserve"> </w:t>
      </w:r>
    </w:p>
    <w:p w:rsidR="00576B50" w:rsidRDefault="00576B50" w:rsidP="00576B50">
      <w:pPr>
        <w:widowControl w:val="0"/>
        <w:autoSpaceDE w:val="0"/>
        <w:autoSpaceDN w:val="0"/>
        <w:adjustRightInd w:val="0"/>
      </w:pPr>
    </w:p>
    <w:p w:rsidR="00576B50" w:rsidRDefault="00576B50" w:rsidP="00576B50">
      <w:pPr>
        <w:widowControl w:val="0"/>
        <w:autoSpaceDE w:val="0"/>
        <w:autoSpaceDN w:val="0"/>
        <w:adjustRightInd w:val="0"/>
      </w:pPr>
      <w:r>
        <w:t xml:space="preserve">If suspended matter has been changed prior to the filing of a suspension notice, the matter shall be republished in the regular manner to remove any violation of the suspension decision, as provided in Section 1225.1240. Also see Section 1225.1250. </w:t>
      </w:r>
    </w:p>
    <w:sectPr w:rsidR="00576B50" w:rsidSect="00576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B50"/>
    <w:rsid w:val="004E620A"/>
    <w:rsid w:val="00576B50"/>
    <w:rsid w:val="008E65AF"/>
    <w:rsid w:val="00D418F8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