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AE3" w:rsidRDefault="00930AE3" w:rsidP="00930AE3">
      <w:pPr>
        <w:widowControl w:val="0"/>
        <w:autoSpaceDE w:val="0"/>
        <w:autoSpaceDN w:val="0"/>
        <w:adjustRightInd w:val="0"/>
      </w:pPr>
      <w:bookmarkStart w:id="0" w:name="_GoBack"/>
      <w:bookmarkEnd w:id="0"/>
    </w:p>
    <w:p w:rsidR="00930AE3" w:rsidRDefault="00930AE3" w:rsidP="00930AE3">
      <w:pPr>
        <w:widowControl w:val="0"/>
        <w:autoSpaceDE w:val="0"/>
        <w:autoSpaceDN w:val="0"/>
        <w:adjustRightInd w:val="0"/>
      </w:pPr>
      <w:r>
        <w:rPr>
          <w:b/>
          <w:bCs/>
        </w:rPr>
        <w:t>Section 1225.601  Routing to be Specified</w:t>
      </w:r>
      <w:r>
        <w:t xml:space="preserve"> </w:t>
      </w:r>
    </w:p>
    <w:p w:rsidR="00930AE3" w:rsidRDefault="00930AE3" w:rsidP="00930AE3">
      <w:pPr>
        <w:widowControl w:val="0"/>
        <w:autoSpaceDE w:val="0"/>
        <w:autoSpaceDN w:val="0"/>
        <w:adjustRightInd w:val="0"/>
      </w:pPr>
    </w:p>
    <w:p w:rsidR="00930AE3" w:rsidRDefault="00930AE3" w:rsidP="00930AE3">
      <w:pPr>
        <w:widowControl w:val="0"/>
        <w:autoSpaceDE w:val="0"/>
        <w:autoSpaceDN w:val="0"/>
        <w:adjustRightInd w:val="0"/>
      </w:pPr>
      <w:r>
        <w:t xml:space="preserve">Except as authorized in Section 1225.605, the routing to be used shall be specified, identifying each carrier and the point of interchange in proper order from origin to destination.  For motor carriers, highway numbers need not be listed. </w:t>
      </w:r>
    </w:p>
    <w:sectPr w:rsidR="00930AE3" w:rsidSect="00930A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0AE3"/>
    <w:rsid w:val="004E620A"/>
    <w:rsid w:val="007151BE"/>
    <w:rsid w:val="00930AE3"/>
    <w:rsid w:val="00D94463"/>
    <w:rsid w:val="00E9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