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42" w:rsidRDefault="00303242" w:rsidP="003032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242" w:rsidRDefault="00303242" w:rsidP="003032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1225.260  Supplement (or Loose-leaf Pages) to be Shown in Series of Former Agent</w:t>
      </w:r>
      <w:r>
        <w:t xml:space="preserve"> </w:t>
      </w:r>
    </w:p>
    <w:p w:rsidR="00303242" w:rsidRDefault="00303242" w:rsidP="00303242">
      <w:pPr>
        <w:widowControl w:val="0"/>
        <w:autoSpaceDE w:val="0"/>
        <w:autoSpaceDN w:val="0"/>
        <w:adjustRightInd w:val="0"/>
      </w:pPr>
    </w:p>
    <w:p w:rsidR="00303242" w:rsidRDefault="00303242" w:rsidP="00303242">
      <w:pPr>
        <w:widowControl w:val="0"/>
        <w:autoSpaceDE w:val="0"/>
        <w:autoSpaceDN w:val="0"/>
        <w:adjustRightInd w:val="0"/>
      </w:pPr>
      <w:r>
        <w:t xml:space="preserve">Supplements or loose-leaf pages, including those publishing the take-over, filed by the new agent to tariffs issued by the former agent (or a predecessor thereof, if any) must show in connection with the ILLCC designation that they are in the series of the former agent (or predecessors). </w:t>
      </w:r>
    </w:p>
    <w:sectPr w:rsidR="00303242" w:rsidSect="003032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242"/>
    <w:rsid w:val="00303242"/>
    <w:rsid w:val="00464B3A"/>
    <w:rsid w:val="004E620A"/>
    <w:rsid w:val="007A1307"/>
    <w:rsid w:val="009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