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11" w:rsidRDefault="00A64311" w:rsidP="00A643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311" w:rsidRDefault="00A64311" w:rsidP="00A643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1225.115  Transfer of Authority From One Agent to Another</w:t>
      </w:r>
      <w:r>
        <w:t xml:space="preserve"> </w:t>
      </w:r>
    </w:p>
    <w:p w:rsidR="00A64311" w:rsidRDefault="00A64311" w:rsidP="00A64311">
      <w:pPr>
        <w:widowControl w:val="0"/>
        <w:autoSpaceDE w:val="0"/>
        <w:autoSpaceDN w:val="0"/>
        <w:adjustRightInd w:val="0"/>
      </w:pPr>
    </w:p>
    <w:p w:rsidR="00A64311" w:rsidRDefault="00A64311" w:rsidP="00A64311">
      <w:pPr>
        <w:widowControl w:val="0"/>
        <w:autoSpaceDE w:val="0"/>
        <w:autoSpaceDN w:val="0"/>
        <w:adjustRightInd w:val="0"/>
      </w:pPr>
      <w:r>
        <w:t xml:space="preserve">When a new agent is to take over all effective tariffs of another agent (including where a name of a corporation is changed), powers of attorney shall be appropriately amended. </w:t>
      </w:r>
    </w:p>
    <w:sectPr w:rsidR="00A64311" w:rsidSect="00A643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311"/>
    <w:rsid w:val="004E620A"/>
    <w:rsid w:val="005C5449"/>
    <w:rsid w:val="00A64311"/>
    <w:rsid w:val="00AD0E86"/>
    <w:rsid w:val="00B1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