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B3" w:rsidRDefault="00D611B3" w:rsidP="00D611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1B3" w:rsidRDefault="00D611B3" w:rsidP="00D611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1001.60  Substitution of Parties</w:t>
      </w:r>
      <w:r>
        <w:t xml:space="preserve"> </w:t>
      </w:r>
    </w:p>
    <w:p w:rsidR="00D611B3" w:rsidRDefault="00D611B3" w:rsidP="00D611B3">
      <w:pPr>
        <w:widowControl w:val="0"/>
        <w:autoSpaceDE w:val="0"/>
        <w:autoSpaceDN w:val="0"/>
        <w:adjustRightInd w:val="0"/>
      </w:pPr>
    </w:p>
    <w:p w:rsidR="00D611B3" w:rsidRDefault="00D611B3" w:rsidP="00D611B3">
      <w:pPr>
        <w:widowControl w:val="0"/>
        <w:autoSpaceDE w:val="0"/>
        <w:autoSpaceDN w:val="0"/>
        <w:adjustRightInd w:val="0"/>
      </w:pPr>
      <w:r>
        <w:t xml:space="preserve">A hearing officer shall, upon motion, when proper in cases in which a party has died, resigned, been moved or otherwise succeeded to the interest of a previously named party rule on a request for the substitution of parties. </w:t>
      </w:r>
    </w:p>
    <w:p w:rsidR="00D611B3" w:rsidRDefault="00D611B3" w:rsidP="00D611B3">
      <w:pPr>
        <w:widowControl w:val="0"/>
        <w:autoSpaceDE w:val="0"/>
        <w:autoSpaceDN w:val="0"/>
        <w:adjustRightInd w:val="0"/>
      </w:pPr>
    </w:p>
    <w:p w:rsidR="00D611B3" w:rsidRDefault="00D611B3" w:rsidP="00D611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9380, effective June 13, 2002) </w:t>
      </w:r>
    </w:p>
    <w:sectPr w:rsidR="00D611B3" w:rsidSect="00D61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1B3"/>
    <w:rsid w:val="006514E0"/>
    <w:rsid w:val="008835FE"/>
    <w:rsid w:val="00AE6609"/>
    <w:rsid w:val="00BA0FAE"/>
    <w:rsid w:val="00D6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