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42" w:rsidRDefault="00565A42" w:rsidP="00565A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5A42" w:rsidRDefault="00565A42" w:rsidP="00565A42">
      <w:pPr>
        <w:widowControl w:val="0"/>
        <w:autoSpaceDE w:val="0"/>
        <w:autoSpaceDN w:val="0"/>
        <w:adjustRightInd w:val="0"/>
      </w:pPr>
      <w:r>
        <w:t xml:space="preserve">SOURCE:  </w:t>
      </w:r>
      <w:proofErr w:type="spellStart"/>
      <w:r>
        <w:t>Recodified</w:t>
      </w:r>
      <w:proofErr w:type="spellEnd"/>
      <w:r>
        <w:t xml:space="preserve"> to 17 Ill. Adm. C</w:t>
      </w:r>
      <w:r w:rsidR="00134489">
        <w:t xml:space="preserve">ode 3704 at 22 Ill. Reg. 7362. </w:t>
      </w:r>
    </w:p>
    <w:sectPr w:rsidR="00565A42" w:rsidSect="00565A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5A42"/>
    <w:rsid w:val="00134489"/>
    <w:rsid w:val="00380BF1"/>
    <w:rsid w:val="00565A42"/>
    <w:rsid w:val="006514E0"/>
    <w:rsid w:val="008500E3"/>
    <w:rsid w:val="0096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Recodified to 17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Recodified to 17 Ill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