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EC" w:rsidRDefault="00E812EC" w:rsidP="00E812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2EC" w:rsidRDefault="00E812EC" w:rsidP="00E812EC">
      <w:pPr>
        <w:widowControl w:val="0"/>
        <w:autoSpaceDE w:val="0"/>
        <w:autoSpaceDN w:val="0"/>
        <w:adjustRightInd w:val="0"/>
      </w:pPr>
      <w:r>
        <w:t>SOURCE:  Adopted at 4 Ill. Reg. 27, p. 426, effective June 19, 1980; amended at 5 Ill. Reg. 5915, effective May 27, 1981; codified at 7 Ill. Reg. 12894; amended at 20 Ill. Reg. 12626, effective September 6, 1996; amended at 25 Ill. Reg. 16518</w:t>
      </w:r>
      <w:r w:rsidR="00E455E8">
        <w:t xml:space="preserve">, effective December 18, 2001. </w:t>
      </w:r>
    </w:p>
    <w:sectPr w:rsidR="00E812EC" w:rsidSect="00E812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2EC"/>
    <w:rsid w:val="006514E0"/>
    <w:rsid w:val="006A27AE"/>
    <w:rsid w:val="006B082D"/>
    <w:rsid w:val="007453A7"/>
    <w:rsid w:val="00E455E8"/>
    <w:rsid w:val="00E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