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6F" w:rsidRDefault="00D1646F" w:rsidP="00D164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46F" w:rsidRDefault="00D1646F" w:rsidP="00D1646F">
      <w:pPr>
        <w:widowControl w:val="0"/>
        <w:autoSpaceDE w:val="0"/>
        <w:autoSpaceDN w:val="0"/>
        <w:adjustRightInd w:val="0"/>
      </w:pPr>
      <w:r>
        <w:t xml:space="preserve">SOURCE:  Adopted at 4 Ill. Reg. 15, p. 240, effective April 1, 1980; codified at 8 Ill. Reg. 18934; </w:t>
      </w:r>
      <w:proofErr w:type="spellStart"/>
      <w:r>
        <w:t>recodified</w:t>
      </w:r>
      <w:proofErr w:type="spellEnd"/>
      <w:r>
        <w:t xml:space="preserve"> from 92 Ill. Adm. Code 401 at 14 Ill. Reg. 3234. </w:t>
      </w:r>
      <w:r>
        <w:tab/>
      </w:r>
    </w:p>
    <w:sectPr w:rsidR="00D1646F" w:rsidSect="00D164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46F"/>
    <w:rsid w:val="00122881"/>
    <w:rsid w:val="00196540"/>
    <w:rsid w:val="005C3366"/>
    <w:rsid w:val="00D1646F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