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23" w:rsidRDefault="00B96523" w:rsidP="00B965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523" w:rsidRDefault="00B96523" w:rsidP="00B96523">
      <w:pPr>
        <w:widowControl w:val="0"/>
        <w:autoSpaceDE w:val="0"/>
        <w:autoSpaceDN w:val="0"/>
        <w:adjustRightInd w:val="0"/>
      </w:pPr>
      <w:r>
        <w:t>AUTHORITY:  Implementing and authorized by Section 17 of the Airport Zoning Ac</w:t>
      </w:r>
      <w:r w:rsidR="00BC7F87">
        <w:t>t (Ill. Rev. Stat. 1985, ch. 15</w:t>
      </w:r>
      <w:r w:rsidR="00F11784">
        <w:t>½</w:t>
      </w:r>
      <w:r>
        <w:t xml:space="preserve">, par. 48.17). </w:t>
      </w:r>
    </w:p>
    <w:sectPr w:rsidR="00B96523" w:rsidSect="00B96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523"/>
    <w:rsid w:val="00114C2A"/>
    <w:rsid w:val="00350945"/>
    <w:rsid w:val="005C3366"/>
    <w:rsid w:val="00B11E42"/>
    <w:rsid w:val="00B96523"/>
    <w:rsid w:val="00BC7F87"/>
    <w:rsid w:val="00F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17 of the Airport Zoning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17 of the Airport Zoning Act (Ill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