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6D" w:rsidRDefault="004D646D">
      <w:pPr>
        <w:rPr>
          <w:b/>
        </w:rPr>
      </w:pPr>
      <w:r>
        <w:rPr>
          <w:b/>
        </w:rPr>
        <w:br w:type="page"/>
      </w:r>
    </w:p>
    <w:p w:rsidR="0033727A" w:rsidRPr="00FB1BDE" w:rsidRDefault="0033727A" w:rsidP="0033727A">
      <w:pPr>
        <w:rPr>
          <w:b/>
        </w:rPr>
      </w:pPr>
      <w:r w:rsidRPr="00FB1BDE">
        <w:rPr>
          <w:b/>
        </w:rPr>
        <w:lastRenderedPageBreak/>
        <w:t>Section 14.APPENDIX E  Restricted Landing Areas Standards</w:t>
      </w:r>
    </w:p>
    <w:p w:rsidR="0033727A" w:rsidRPr="00FB1BDE" w:rsidRDefault="0033727A" w:rsidP="0033727A">
      <w:pPr>
        <w:rPr>
          <w:b/>
        </w:rPr>
      </w:pPr>
    </w:p>
    <w:p w:rsidR="0033727A" w:rsidRPr="00157D77" w:rsidRDefault="0033727A" w:rsidP="0033727A">
      <w:r w:rsidRPr="00FB1BDE">
        <w:rPr>
          <w:b/>
        </w:rPr>
        <w:t xml:space="preserve">Section 14.ILLUSTRATION </w:t>
      </w:r>
      <w:r>
        <w:rPr>
          <w:b/>
        </w:rPr>
        <w:t>E</w:t>
      </w:r>
      <w:r w:rsidRPr="00FB1BDE">
        <w:rPr>
          <w:b/>
        </w:rPr>
        <w:t xml:space="preserve">  Restricted Landing Areas </w:t>
      </w:r>
      <w:r>
        <w:rPr>
          <w:b/>
        </w:rPr>
        <w:t>Displaced Threshold Marking</w:t>
      </w:r>
      <w:r w:rsidR="00F434A2">
        <w:rPr>
          <w:b/>
        </w:rPr>
        <w:t>s</w:t>
      </w:r>
    </w:p>
    <w:p w:rsidR="0033727A" w:rsidRPr="00157D77" w:rsidRDefault="0033727A" w:rsidP="0033727A"/>
    <w:p w:rsidR="0033727A" w:rsidRDefault="0033727A" w:rsidP="0033727A">
      <w:pPr>
        <w:ind w:left="720"/>
      </w:pPr>
      <w:r>
        <w:rPr>
          <w:noProof/>
        </w:rPr>
        <w:drawing>
          <wp:inline distT="0" distB="0" distL="0" distR="0" wp14:anchorId="34584B51" wp14:editId="3A4E1FA5">
            <wp:extent cx="5220267" cy="4790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660" cy="485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22" w:rsidRDefault="0033727A" w:rsidP="0070307A">
      <w:pPr>
        <w:ind w:left="720"/>
      </w:pPr>
      <w:r>
        <w:t>(Source:  Renumbered from Appendix E</w:t>
      </w:r>
      <w:r w:rsidR="0070307A">
        <w:t>,</w:t>
      </w:r>
      <w:r>
        <w:t xml:space="preserve"> Illustration C at 38 I</w:t>
      </w:r>
      <w:r w:rsidRPr="00D55B37">
        <w:t xml:space="preserve">ll. Reg. </w:t>
      </w:r>
      <w:r w:rsidR="00A37C99">
        <w:t>20064</w:t>
      </w:r>
      <w:r w:rsidRPr="00D55B37">
        <w:t xml:space="preserve">, effective </w:t>
      </w:r>
      <w:r w:rsidR="00A37C99">
        <w:t>October 2, 2014</w:t>
      </w:r>
      <w:r w:rsidRPr="00D55B37">
        <w:t>)</w:t>
      </w:r>
    </w:p>
    <w:p w:rsidR="0033727A" w:rsidRDefault="0033727A" w:rsidP="004D646D">
      <w:bookmarkStart w:id="0" w:name="_GoBack"/>
      <w:bookmarkEnd w:id="0"/>
    </w:p>
    <w:sectPr w:rsidR="003372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643" w:rsidRDefault="00092643">
      <w:r>
        <w:separator/>
      </w:r>
    </w:p>
  </w:endnote>
  <w:endnote w:type="continuationSeparator" w:id="0">
    <w:p w:rsidR="00092643" w:rsidRDefault="0009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643" w:rsidRDefault="00092643">
      <w:r>
        <w:separator/>
      </w:r>
    </w:p>
  </w:footnote>
  <w:footnote w:type="continuationSeparator" w:id="0">
    <w:p w:rsidR="00092643" w:rsidRDefault="0009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422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64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3C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27A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46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34B"/>
    <w:rsid w:val="00702A38"/>
    <w:rsid w:val="0070307A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7C99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4C3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4A2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E428C-BE07-44B6-976E-3EA70A42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Brackett, Dawn R.</cp:lastModifiedBy>
  <cp:revision>8</cp:revision>
  <dcterms:created xsi:type="dcterms:W3CDTF">2014-09-02T14:26:00Z</dcterms:created>
  <dcterms:modified xsi:type="dcterms:W3CDTF">2014-11-24T14:35:00Z</dcterms:modified>
</cp:coreProperties>
</file>