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16" w:rsidRDefault="00760B16" w:rsidP="00760B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B16" w:rsidRDefault="00760B16" w:rsidP="00760B16">
      <w:pPr>
        <w:widowControl w:val="0"/>
        <w:autoSpaceDE w:val="0"/>
        <w:autoSpaceDN w:val="0"/>
        <w:adjustRightInd w:val="0"/>
      </w:pPr>
      <w:r>
        <w:t xml:space="preserve">AUTHORITY:  Implementing Sections 3, 5 and 13 and authorized by Section 3 of the Disabled Persons Rehabilitation Act [20 </w:t>
      </w:r>
      <w:proofErr w:type="spellStart"/>
      <w:r>
        <w:t>ILCS</w:t>
      </w:r>
      <w:proofErr w:type="spellEnd"/>
      <w:r>
        <w:t xml:space="preserve"> 2405/3, 5 and 13]. </w:t>
      </w:r>
    </w:p>
    <w:sectPr w:rsidR="00760B16" w:rsidSect="00760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B16"/>
    <w:rsid w:val="000C48CF"/>
    <w:rsid w:val="005C3366"/>
    <w:rsid w:val="00760B16"/>
    <w:rsid w:val="007E4699"/>
    <w:rsid w:val="00F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5 and 13 and authorized by Section 3 of the Disabled Persons Rehabilitation Act [20 ILCS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5 and 13 and authorized by Section 3 of the Disabled Persons Rehabilitation Act [20 ILCS 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