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43" w:rsidRDefault="001E6F43" w:rsidP="001E6F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6F43" w:rsidRDefault="001E6F43" w:rsidP="001E6F43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C079A8">
        <w:t>t</w:t>
      </w:r>
      <w:r>
        <w:t xml:space="preserve">he State Records Act (Ill. Rev. Stat. 1979, </w:t>
      </w:r>
      <w:r w:rsidR="00C079A8">
        <w:t>C</w:t>
      </w:r>
      <w:r>
        <w:t xml:space="preserve">h. 116, pars. 43.4 et seq.). </w:t>
      </w:r>
    </w:p>
    <w:sectPr w:rsidR="001E6F43" w:rsidSect="001E6F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6F43"/>
    <w:rsid w:val="001E6F43"/>
    <w:rsid w:val="005C3366"/>
    <w:rsid w:val="00C079A8"/>
    <w:rsid w:val="00C82F1A"/>
    <w:rsid w:val="00C96D4C"/>
    <w:rsid w:val="00C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State Records Act (Ill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State Records Act (Ill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