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4F" w:rsidRDefault="00A25B4F" w:rsidP="00A25B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5B4F" w:rsidRDefault="00A25B4F" w:rsidP="00A25B4F">
      <w:pPr>
        <w:widowControl w:val="0"/>
        <w:autoSpaceDE w:val="0"/>
        <w:autoSpaceDN w:val="0"/>
        <w:adjustRightInd w:val="0"/>
      </w:pPr>
      <w:r>
        <w:t xml:space="preserve">AUTHORITY:  Authorized by Section 5 of the Children and Family Services Act [20 ILCS 505/5]; implementing Section 7.16 of the Abused and Neglected Child Reporting Act [325 ILCS 5/7.16]. </w:t>
      </w:r>
    </w:p>
    <w:sectPr w:rsidR="00A25B4F" w:rsidSect="00A25B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B4F"/>
    <w:rsid w:val="005C3366"/>
    <w:rsid w:val="006E1832"/>
    <w:rsid w:val="0081141A"/>
    <w:rsid w:val="00981A67"/>
    <w:rsid w:val="00A2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5 of the Children and Family Services Act [20 ILCS 505/5]; implementing Section 7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5 of the Children and Family Services Act [20 ILCS 505/5]; implementing Section 7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