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CB9" w:rsidRDefault="00B87CB9" w:rsidP="00B87CB9">
      <w:pPr>
        <w:widowControl w:val="0"/>
        <w:autoSpaceDE w:val="0"/>
        <w:autoSpaceDN w:val="0"/>
        <w:adjustRightInd w:val="0"/>
      </w:pPr>
    </w:p>
    <w:p w:rsidR="00B87CB9" w:rsidRDefault="00B87CB9" w:rsidP="00B87CB9">
      <w:pPr>
        <w:widowControl w:val="0"/>
        <w:autoSpaceDE w:val="0"/>
        <w:autoSpaceDN w:val="0"/>
        <w:adjustRightInd w:val="0"/>
      </w:pPr>
      <w:r>
        <w:rPr>
          <w:b/>
          <w:bCs/>
        </w:rPr>
        <w:t xml:space="preserve">Section 500.335 </w:t>
      </w:r>
      <w:r w:rsidR="006A0DD3">
        <w:rPr>
          <w:b/>
          <w:bCs/>
        </w:rPr>
        <w:t xml:space="preserve"> </w:t>
      </w:r>
      <w:r>
        <w:rPr>
          <w:b/>
          <w:bCs/>
        </w:rPr>
        <w:t>Quarterly Payment and Reporting</w:t>
      </w:r>
      <w:r>
        <w:t xml:space="preserve"> </w:t>
      </w:r>
    </w:p>
    <w:p w:rsidR="00B87CB9" w:rsidRDefault="00B87CB9" w:rsidP="00B87CB9">
      <w:pPr>
        <w:widowControl w:val="0"/>
        <w:autoSpaceDE w:val="0"/>
        <w:autoSpaceDN w:val="0"/>
        <w:adjustRightInd w:val="0"/>
      </w:pPr>
    </w:p>
    <w:p w:rsidR="00B87CB9" w:rsidRDefault="00B87CB9" w:rsidP="00B87CB9">
      <w:pPr>
        <w:widowControl w:val="0"/>
        <w:autoSpaceDE w:val="0"/>
        <w:autoSpaceDN w:val="0"/>
        <w:adjustRightInd w:val="0"/>
        <w:ind w:left="1440" w:hanging="720"/>
      </w:pPr>
      <w:r>
        <w:t>a)</w:t>
      </w:r>
      <w:r>
        <w:tab/>
        <w:t xml:space="preserve">Every person holding a valid unrevoked motor fuel use tax license issued by the Department under the provisions of the IFTA shall file a quarterly motor fuel use tax return, along with full payment of taxes, with the Department. Returns are due, even if no operations were conducted during the reporting period. The due date for the return and full payment of taxes is the last day of the month immediately following the close of the quarter for which the return is being filed. Returns and full payment of taxes are due on or before the following dates: </w:t>
      </w:r>
    </w:p>
    <w:p w:rsidR="00B87CB9" w:rsidRDefault="00B87CB9" w:rsidP="001E1BF5"/>
    <w:tbl>
      <w:tblPr>
        <w:tblW w:w="0" w:type="auto"/>
        <w:tblInd w:w="285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2907"/>
        <w:gridCol w:w="2736"/>
      </w:tblGrid>
      <w:tr w:rsidR="00B87CB9" w:rsidTr="006A0DD3">
        <w:tc>
          <w:tcPr>
            <w:tcW w:w="2907" w:type="dxa"/>
            <w:tcBorders>
              <w:top w:val="nil"/>
              <w:left w:val="nil"/>
              <w:bottom w:val="nil"/>
              <w:right w:val="nil"/>
            </w:tcBorders>
          </w:tcPr>
          <w:p w:rsidR="00B87CB9" w:rsidRDefault="00B87CB9" w:rsidP="005569C6">
            <w:pPr>
              <w:widowControl w:val="0"/>
              <w:autoSpaceDE w:val="0"/>
              <w:autoSpaceDN w:val="0"/>
              <w:adjustRightInd w:val="0"/>
              <w:ind w:right="-258" w:hanging="324"/>
            </w:pPr>
            <w:r>
              <w:t>Reporting Quarter</w:t>
            </w:r>
          </w:p>
        </w:tc>
        <w:tc>
          <w:tcPr>
            <w:tcW w:w="2736" w:type="dxa"/>
            <w:tcBorders>
              <w:top w:val="nil"/>
              <w:left w:val="nil"/>
              <w:bottom w:val="nil"/>
              <w:right w:val="nil"/>
            </w:tcBorders>
          </w:tcPr>
          <w:p w:rsidR="00B87CB9" w:rsidRDefault="00B87CB9" w:rsidP="005569C6">
            <w:pPr>
              <w:widowControl w:val="0"/>
              <w:autoSpaceDE w:val="0"/>
              <w:autoSpaceDN w:val="0"/>
              <w:adjustRightInd w:val="0"/>
            </w:pPr>
            <w:r>
              <w:t>Due Date</w:t>
            </w:r>
          </w:p>
        </w:tc>
      </w:tr>
      <w:tr w:rsidR="00B87CB9" w:rsidTr="006A0DD3">
        <w:tc>
          <w:tcPr>
            <w:tcW w:w="2907" w:type="dxa"/>
            <w:tcBorders>
              <w:top w:val="nil"/>
              <w:left w:val="nil"/>
              <w:bottom w:val="nil"/>
              <w:right w:val="nil"/>
            </w:tcBorders>
          </w:tcPr>
          <w:p w:rsidR="00B87CB9" w:rsidRDefault="00B87CB9" w:rsidP="005569C6">
            <w:pPr>
              <w:widowControl w:val="0"/>
              <w:autoSpaceDE w:val="0"/>
              <w:autoSpaceDN w:val="0"/>
              <w:adjustRightInd w:val="0"/>
              <w:ind w:right="-258" w:hanging="324"/>
            </w:pPr>
          </w:p>
        </w:tc>
        <w:tc>
          <w:tcPr>
            <w:tcW w:w="2736" w:type="dxa"/>
            <w:tcBorders>
              <w:top w:val="nil"/>
              <w:left w:val="nil"/>
              <w:bottom w:val="nil"/>
              <w:right w:val="nil"/>
            </w:tcBorders>
          </w:tcPr>
          <w:p w:rsidR="00B87CB9" w:rsidRDefault="00B87CB9" w:rsidP="005569C6">
            <w:pPr>
              <w:widowControl w:val="0"/>
              <w:autoSpaceDE w:val="0"/>
              <w:autoSpaceDN w:val="0"/>
              <w:adjustRightInd w:val="0"/>
            </w:pPr>
          </w:p>
        </w:tc>
      </w:tr>
      <w:tr w:rsidR="00B87CB9" w:rsidTr="006A0DD3">
        <w:tc>
          <w:tcPr>
            <w:tcW w:w="2907" w:type="dxa"/>
            <w:tcBorders>
              <w:top w:val="nil"/>
              <w:left w:val="nil"/>
              <w:bottom w:val="nil"/>
              <w:right w:val="nil"/>
            </w:tcBorders>
          </w:tcPr>
          <w:p w:rsidR="00B87CB9" w:rsidRDefault="00B87CB9" w:rsidP="005569C6">
            <w:pPr>
              <w:widowControl w:val="0"/>
              <w:autoSpaceDE w:val="0"/>
              <w:autoSpaceDN w:val="0"/>
              <w:adjustRightInd w:val="0"/>
              <w:ind w:right="-258" w:hanging="324"/>
            </w:pPr>
            <w:r>
              <w:t>January - March</w:t>
            </w:r>
          </w:p>
        </w:tc>
        <w:tc>
          <w:tcPr>
            <w:tcW w:w="2736" w:type="dxa"/>
            <w:tcBorders>
              <w:top w:val="nil"/>
              <w:left w:val="nil"/>
              <w:bottom w:val="nil"/>
              <w:right w:val="nil"/>
            </w:tcBorders>
          </w:tcPr>
          <w:p w:rsidR="00B87CB9" w:rsidRDefault="00B87CB9" w:rsidP="005569C6">
            <w:pPr>
              <w:widowControl w:val="0"/>
              <w:autoSpaceDE w:val="0"/>
              <w:autoSpaceDN w:val="0"/>
              <w:adjustRightInd w:val="0"/>
            </w:pPr>
            <w:r>
              <w:t>April 30</w:t>
            </w:r>
          </w:p>
        </w:tc>
      </w:tr>
      <w:tr w:rsidR="00B87CB9" w:rsidTr="006A0DD3">
        <w:tc>
          <w:tcPr>
            <w:tcW w:w="2907" w:type="dxa"/>
            <w:tcBorders>
              <w:top w:val="nil"/>
              <w:left w:val="nil"/>
              <w:bottom w:val="nil"/>
              <w:right w:val="nil"/>
            </w:tcBorders>
          </w:tcPr>
          <w:p w:rsidR="00B87CB9" w:rsidRDefault="00B87CB9" w:rsidP="005569C6">
            <w:pPr>
              <w:widowControl w:val="0"/>
              <w:autoSpaceDE w:val="0"/>
              <w:autoSpaceDN w:val="0"/>
              <w:adjustRightInd w:val="0"/>
              <w:ind w:right="-258" w:hanging="324"/>
            </w:pPr>
            <w:r>
              <w:t>April - June</w:t>
            </w:r>
          </w:p>
        </w:tc>
        <w:tc>
          <w:tcPr>
            <w:tcW w:w="2736" w:type="dxa"/>
            <w:tcBorders>
              <w:top w:val="nil"/>
              <w:left w:val="nil"/>
              <w:bottom w:val="nil"/>
              <w:right w:val="nil"/>
            </w:tcBorders>
          </w:tcPr>
          <w:p w:rsidR="00B87CB9" w:rsidRDefault="00B87CB9" w:rsidP="005569C6">
            <w:pPr>
              <w:widowControl w:val="0"/>
              <w:autoSpaceDE w:val="0"/>
              <w:autoSpaceDN w:val="0"/>
              <w:adjustRightInd w:val="0"/>
            </w:pPr>
            <w:r>
              <w:t>July 31</w:t>
            </w:r>
          </w:p>
        </w:tc>
      </w:tr>
      <w:tr w:rsidR="00B87CB9" w:rsidTr="006A0DD3">
        <w:tc>
          <w:tcPr>
            <w:tcW w:w="2907" w:type="dxa"/>
            <w:tcBorders>
              <w:top w:val="nil"/>
              <w:left w:val="nil"/>
              <w:bottom w:val="nil"/>
              <w:right w:val="nil"/>
            </w:tcBorders>
          </w:tcPr>
          <w:p w:rsidR="00B87CB9" w:rsidRDefault="00B87CB9" w:rsidP="005569C6">
            <w:pPr>
              <w:widowControl w:val="0"/>
              <w:autoSpaceDE w:val="0"/>
              <w:autoSpaceDN w:val="0"/>
              <w:adjustRightInd w:val="0"/>
              <w:ind w:right="-258" w:hanging="324"/>
            </w:pPr>
            <w:r>
              <w:t>July - September</w:t>
            </w:r>
          </w:p>
        </w:tc>
        <w:tc>
          <w:tcPr>
            <w:tcW w:w="2736" w:type="dxa"/>
            <w:tcBorders>
              <w:top w:val="nil"/>
              <w:left w:val="nil"/>
              <w:bottom w:val="nil"/>
              <w:right w:val="nil"/>
            </w:tcBorders>
          </w:tcPr>
          <w:p w:rsidR="00B87CB9" w:rsidRDefault="00B87CB9" w:rsidP="005569C6">
            <w:pPr>
              <w:widowControl w:val="0"/>
              <w:autoSpaceDE w:val="0"/>
              <w:autoSpaceDN w:val="0"/>
              <w:adjustRightInd w:val="0"/>
            </w:pPr>
            <w:r>
              <w:t>October 31</w:t>
            </w:r>
          </w:p>
        </w:tc>
      </w:tr>
      <w:tr w:rsidR="00B87CB9" w:rsidTr="006A0DD3">
        <w:tc>
          <w:tcPr>
            <w:tcW w:w="2907" w:type="dxa"/>
            <w:tcBorders>
              <w:top w:val="nil"/>
              <w:left w:val="nil"/>
              <w:bottom w:val="nil"/>
              <w:right w:val="nil"/>
            </w:tcBorders>
          </w:tcPr>
          <w:p w:rsidR="00B87CB9" w:rsidRDefault="00B87CB9" w:rsidP="005569C6">
            <w:pPr>
              <w:widowControl w:val="0"/>
              <w:autoSpaceDE w:val="0"/>
              <w:autoSpaceDN w:val="0"/>
              <w:adjustRightInd w:val="0"/>
              <w:ind w:right="-258" w:hanging="324"/>
            </w:pPr>
            <w:r>
              <w:t>October - December</w:t>
            </w:r>
          </w:p>
        </w:tc>
        <w:tc>
          <w:tcPr>
            <w:tcW w:w="2736" w:type="dxa"/>
            <w:tcBorders>
              <w:top w:val="nil"/>
              <w:left w:val="nil"/>
              <w:bottom w:val="nil"/>
              <w:right w:val="nil"/>
            </w:tcBorders>
          </w:tcPr>
          <w:p w:rsidR="00B87CB9" w:rsidRDefault="00B87CB9" w:rsidP="005569C6">
            <w:pPr>
              <w:widowControl w:val="0"/>
              <w:autoSpaceDE w:val="0"/>
              <w:autoSpaceDN w:val="0"/>
              <w:adjustRightInd w:val="0"/>
            </w:pPr>
            <w:r>
              <w:t>January 31</w:t>
            </w:r>
          </w:p>
        </w:tc>
      </w:tr>
    </w:tbl>
    <w:p w:rsidR="00B87CB9" w:rsidRDefault="00B87CB9" w:rsidP="001E1BF5"/>
    <w:p w:rsidR="00B87CB9" w:rsidRDefault="00B87CB9" w:rsidP="001E1BF5">
      <w:pPr>
        <w:widowControl w:val="0"/>
        <w:autoSpaceDE w:val="0"/>
        <w:autoSpaceDN w:val="0"/>
        <w:adjustRightInd w:val="0"/>
        <w:ind w:left="1440"/>
      </w:pPr>
      <w:r>
        <w:t xml:space="preserve">If the due date is a Saturday, Sunday, or legal holiday, the next business day is considered the due date. Each motor fuel use tax return should be mailed in a separate envelope. </w:t>
      </w:r>
      <w:r w:rsidR="006A2200" w:rsidRPr="006A2200">
        <w:t>On and after January 1, 2013, returns and payment of tax, including amended returns, must be made electronically.  Electronic returns shall be made in accordance with 86 Ill. Adm. Code 760.  Electronic payments shall be made by ACH debit in accordance with 86 Ill. Adm. Code 750.</w:t>
      </w:r>
    </w:p>
    <w:p w:rsidR="008A253A" w:rsidRDefault="008A253A" w:rsidP="001E1BF5"/>
    <w:p w:rsidR="00B87CB9" w:rsidRDefault="00B87CB9" w:rsidP="00B87CB9">
      <w:pPr>
        <w:widowControl w:val="0"/>
        <w:autoSpaceDE w:val="0"/>
        <w:autoSpaceDN w:val="0"/>
        <w:adjustRightInd w:val="0"/>
        <w:ind w:left="1440" w:hanging="720"/>
      </w:pPr>
      <w:r>
        <w:t>b)</w:t>
      </w:r>
      <w:r>
        <w:tab/>
        <w:t xml:space="preserve">The taxable event is the consumption of motor fuel, as defined in Section 500.100 of this Part, used to operate commercial motor vehicles. For tax payment and reporting purposes, all motor fuels placed in supply tanks of commercial motor vehicles, and all miles travelled, are taxable. Carriers must utilize the procedures in Section 500.235 for refunds for off-road or non-highway use. </w:t>
      </w:r>
    </w:p>
    <w:p w:rsidR="008A253A" w:rsidRDefault="008A253A" w:rsidP="001E1BF5"/>
    <w:p w:rsidR="00B87CB9" w:rsidRDefault="00B87CB9" w:rsidP="00B87CB9">
      <w:pPr>
        <w:widowControl w:val="0"/>
        <w:autoSpaceDE w:val="0"/>
        <w:autoSpaceDN w:val="0"/>
        <w:adjustRightInd w:val="0"/>
        <w:ind w:left="1440" w:hanging="720"/>
      </w:pPr>
      <w:r>
        <w:t>c)</w:t>
      </w:r>
      <w:r>
        <w:tab/>
        <w:t xml:space="preserve">For IFTA licensees: The IFTA provides that member jurisdictions may determine what type of motor fuels and miles travelled are exempt from tax, and are therefore not reportable. Carriers should contact member jurisdictions to determine what types of fuel and miles travelled are exempt from taxation. For IFTA carriers, claims for refunds for fuel used for any purpose other than propelling a commercial motor vehicle upon public highways must be made directly to the respective jurisdiction. </w:t>
      </w:r>
    </w:p>
    <w:p w:rsidR="008A253A" w:rsidRDefault="008A253A" w:rsidP="001E1BF5"/>
    <w:p w:rsidR="00B87CB9" w:rsidRDefault="00B87CB9" w:rsidP="00B87CB9">
      <w:pPr>
        <w:widowControl w:val="0"/>
        <w:autoSpaceDE w:val="0"/>
        <w:autoSpaceDN w:val="0"/>
        <w:adjustRightInd w:val="0"/>
        <w:ind w:left="1440" w:hanging="720"/>
      </w:pPr>
      <w:r>
        <w:t>d)</w:t>
      </w:r>
      <w:r>
        <w:tab/>
        <w:t xml:space="preserve">The quarterly return shall include a statement of the total number of miles travelled, as well as total miles travelled in each jurisdiction and in Illinois during the previous calendar quarter; the total number of gallons and type of reportable motor fuel consumed on the highways of all jurisdictions, as well as in each jurisdiction and in Illinois, and the total number of gallons and types of tax paid fuel purchased within each jurisdiction during the previous calendar quarter; and the total (net) of tax due the base jurisdiction on behalf of all jurisdictions. </w:t>
      </w:r>
      <w:r>
        <w:lastRenderedPageBreak/>
        <w:t xml:space="preserve">Licensees shall report all required information, and may not include miles operated and gallons of fuel purchased that were unavailable during any prior quarters. If a licensee does not include all required information, and that information is subsequently available, he </w:t>
      </w:r>
      <w:r w:rsidR="0088363A">
        <w:t xml:space="preserve">or she </w:t>
      </w:r>
      <w:r>
        <w:t xml:space="preserve">must file an amended return, which will include penalty and interest. </w:t>
      </w:r>
    </w:p>
    <w:p w:rsidR="008A253A" w:rsidRDefault="008A253A" w:rsidP="001E1BF5"/>
    <w:p w:rsidR="00B87CB9" w:rsidRDefault="00B87CB9" w:rsidP="00B87CB9">
      <w:pPr>
        <w:widowControl w:val="0"/>
        <w:autoSpaceDE w:val="0"/>
        <w:autoSpaceDN w:val="0"/>
        <w:adjustRightInd w:val="0"/>
        <w:ind w:left="1440" w:hanging="720"/>
      </w:pPr>
      <w:r>
        <w:t>e)</w:t>
      </w:r>
      <w:r>
        <w:tab/>
        <w:t xml:space="preserve">Fuel and distance must be reported in gallons and miles. The conversion rates are: </w:t>
      </w:r>
    </w:p>
    <w:p w:rsidR="00B87CB9" w:rsidRDefault="00B87CB9" w:rsidP="001E1BF5"/>
    <w:tbl>
      <w:tblPr>
        <w:tblW w:w="6528" w:type="dxa"/>
        <w:tblInd w:w="1692" w:type="dxa"/>
        <w:tblLook w:val="0000" w:firstRow="0" w:lastRow="0" w:firstColumn="0" w:lastColumn="0" w:noHBand="0" w:noVBand="0"/>
      </w:tblPr>
      <w:tblGrid>
        <w:gridCol w:w="3024"/>
        <w:gridCol w:w="306"/>
        <w:gridCol w:w="3198"/>
      </w:tblGrid>
      <w:tr w:rsidR="006A0DD3" w:rsidTr="00074101">
        <w:trPr>
          <w:trHeight w:val="389"/>
        </w:trPr>
        <w:tc>
          <w:tcPr>
            <w:tcW w:w="3024" w:type="dxa"/>
          </w:tcPr>
          <w:p w:rsidR="006A0DD3" w:rsidRDefault="006A0DD3" w:rsidP="00074101">
            <w:pPr>
              <w:widowControl w:val="0"/>
              <w:autoSpaceDE w:val="0"/>
              <w:autoSpaceDN w:val="0"/>
              <w:adjustRightInd w:val="0"/>
              <w:ind w:left="180" w:right="99" w:hanging="180"/>
            </w:pPr>
            <w:r>
              <w:t>One liter</w:t>
            </w:r>
          </w:p>
        </w:tc>
        <w:tc>
          <w:tcPr>
            <w:tcW w:w="306" w:type="dxa"/>
          </w:tcPr>
          <w:p w:rsidR="006A0DD3" w:rsidRDefault="006A0DD3" w:rsidP="00074101">
            <w:pPr>
              <w:widowControl w:val="0"/>
              <w:autoSpaceDE w:val="0"/>
              <w:autoSpaceDN w:val="0"/>
              <w:adjustRightInd w:val="0"/>
              <w:ind w:left="-120" w:right="-108"/>
            </w:pPr>
            <w:r>
              <w:t>=</w:t>
            </w:r>
          </w:p>
        </w:tc>
        <w:tc>
          <w:tcPr>
            <w:tcW w:w="3198" w:type="dxa"/>
          </w:tcPr>
          <w:p w:rsidR="006A0DD3" w:rsidRDefault="006A0DD3" w:rsidP="00074101">
            <w:pPr>
              <w:widowControl w:val="0"/>
              <w:autoSpaceDE w:val="0"/>
              <w:autoSpaceDN w:val="0"/>
              <w:adjustRightInd w:val="0"/>
              <w:ind w:left="45" w:right="69"/>
            </w:pPr>
            <w:r>
              <w:t>0.2642 gallons</w:t>
            </w:r>
          </w:p>
        </w:tc>
      </w:tr>
      <w:tr w:rsidR="006A0DD3" w:rsidTr="00074101">
        <w:trPr>
          <w:trHeight w:val="389"/>
        </w:trPr>
        <w:tc>
          <w:tcPr>
            <w:tcW w:w="3024" w:type="dxa"/>
          </w:tcPr>
          <w:p w:rsidR="006A0DD3" w:rsidRDefault="006A0DD3" w:rsidP="00074101">
            <w:pPr>
              <w:widowControl w:val="0"/>
              <w:autoSpaceDE w:val="0"/>
              <w:autoSpaceDN w:val="0"/>
              <w:adjustRightInd w:val="0"/>
              <w:ind w:left="180" w:right="99" w:hanging="180"/>
            </w:pPr>
            <w:r>
              <w:t>One gallon</w:t>
            </w:r>
          </w:p>
        </w:tc>
        <w:tc>
          <w:tcPr>
            <w:tcW w:w="306" w:type="dxa"/>
          </w:tcPr>
          <w:p w:rsidR="006A0DD3" w:rsidRDefault="006A0DD3" w:rsidP="00074101">
            <w:pPr>
              <w:ind w:left="-120" w:right="-108"/>
            </w:pPr>
            <w:r w:rsidRPr="00C84568">
              <w:t>=</w:t>
            </w:r>
          </w:p>
        </w:tc>
        <w:tc>
          <w:tcPr>
            <w:tcW w:w="3198" w:type="dxa"/>
          </w:tcPr>
          <w:p w:rsidR="006A0DD3" w:rsidRDefault="006A0DD3" w:rsidP="00074101">
            <w:pPr>
              <w:widowControl w:val="0"/>
              <w:autoSpaceDE w:val="0"/>
              <w:autoSpaceDN w:val="0"/>
              <w:adjustRightInd w:val="0"/>
              <w:ind w:left="45" w:right="69"/>
            </w:pPr>
            <w:r>
              <w:t>3.785 liters</w:t>
            </w:r>
          </w:p>
        </w:tc>
      </w:tr>
      <w:tr w:rsidR="006A0DD3" w:rsidTr="00074101">
        <w:trPr>
          <w:trHeight w:val="389"/>
        </w:trPr>
        <w:tc>
          <w:tcPr>
            <w:tcW w:w="3024" w:type="dxa"/>
          </w:tcPr>
          <w:p w:rsidR="006A0DD3" w:rsidRDefault="006A0DD3" w:rsidP="00074101">
            <w:pPr>
              <w:widowControl w:val="0"/>
              <w:autoSpaceDE w:val="0"/>
              <w:autoSpaceDN w:val="0"/>
              <w:adjustRightInd w:val="0"/>
              <w:ind w:left="180" w:right="99" w:hanging="180"/>
            </w:pPr>
            <w:r>
              <w:t>One mile</w:t>
            </w:r>
          </w:p>
        </w:tc>
        <w:tc>
          <w:tcPr>
            <w:tcW w:w="306" w:type="dxa"/>
          </w:tcPr>
          <w:p w:rsidR="006A0DD3" w:rsidRDefault="006A0DD3" w:rsidP="00074101">
            <w:pPr>
              <w:ind w:left="-120" w:right="-108"/>
            </w:pPr>
            <w:r w:rsidRPr="00C84568">
              <w:t>=</w:t>
            </w:r>
          </w:p>
        </w:tc>
        <w:tc>
          <w:tcPr>
            <w:tcW w:w="3198" w:type="dxa"/>
          </w:tcPr>
          <w:p w:rsidR="006A0DD3" w:rsidRDefault="006A0DD3" w:rsidP="00074101">
            <w:pPr>
              <w:widowControl w:val="0"/>
              <w:autoSpaceDE w:val="0"/>
              <w:autoSpaceDN w:val="0"/>
              <w:adjustRightInd w:val="0"/>
              <w:ind w:left="45" w:right="69"/>
            </w:pPr>
            <w:r>
              <w:t>1.6093 kilometers</w:t>
            </w:r>
          </w:p>
        </w:tc>
      </w:tr>
      <w:tr w:rsidR="006A0DD3" w:rsidTr="00074101">
        <w:trPr>
          <w:trHeight w:val="389"/>
        </w:trPr>
        <w:tc>
          <w:tcPr>
            <w:tcW w:w="3024" w:type="dxa"/>
          </w:tcPr>
          <w:p w:rsidR="006A0DD3" w:rsidRDefault="006A0DD3" w:rsidP="00074101">
            <w:pPr>
              <w:widowControl w:val="0"/>
              <w:autoSpaceDE w:val="0"/>
              <w:autoSpaceDN w:val="0"/>
              <w:adjustRightInd w:val="0"/>
              <w:ind w:left="180" w:right="99" w:hanging="180"/>
            </w:pPr>
            <w:r>
              <w:t>One kilometer</w:t>
            </w:r>
          </w:p>
        </w:tc>
        <w:tc>
          <w:tcPr>
            <w:tcW w:w="306" w:type="dxa"/>
          </w:tcPr>
          <w:p w:rsidR="006A0DD3" w:rsidRDefault="006A0DD3" w:rsidP="00074101">
            <w:pPr>
              <w:ind w:left="-120" w:right="-108"/>
            </w:pPr>
            <w:r w:rsidRPr="00C84568">
              <w:t>=</w:t>
            </w:r>
          </w:p>
        </w:tc>
        <w:tc>
          <w:tcPr>
            <w:tcW w:w="3198" w:type="dxa"/>
          </w:tcPr>
          <w:p w:rsidR="006A0DD3" w:rsidRDefault="006A0DD3" w:rsidP="00074101">
            <w:pPr>
              <w:widowControl w:val="0"/>
              <w:autoSpaceDE w:val="0"/>
              <w:autoSpaceDN w:val="0"/>
              <w:adjustRightInd w:val="0"/>
              <w:ind w:left="45" w:right="69"/>
            </w:pPr>
            <w:r>
              <w:t>0.62137 mile</w:t>
            </w:r>
          </w:p>
        </w:tc>
      </w:tr>
      <w:tr w:rsidR="00F53059" w:rsidTr="00074101">
        <w:trPr>
          <w:trHeight w:val="648"/>
        </w:trPr>
        <w:tc>
          <w:tcPr>
            <w:tcW w:w="3024" w:type="dxa"/>
          </w:tcPr>
          <w:p w:rsidR="00F53059" w:rsidRDefault="00F53059" w:rsidP="00074101">
            <w:pPr>
              <w:widowControl w:val="0"/>
              <w:autoSpaceDE w:val="0"/>
              <w:autoSpaceDN w:val="0"/>
              <w:adjustRightInd w:val="0"/>
              <w:ind w:left="180" w:right="99" w:hanging="180"/>
            </w:pPr>
            <w:r>
              <w:t>On and after July 1, 2017,</w:t>
            </w:r>
            <w:r w:rsidR="00074101">
              <w:t xml:space="preserve"> </w:t>
            </w:r>
            <w:r>
              <w:t>for LNG, one DGE</w:t>
            </w:r>
          </w:p>
        </w:tc>
        <w:tc>
          <w:tcPr>
            <w:tcW w:w="306" w:type="dxa"/>
          </w:tcPr>
          <w:p w:rsidR="00F53059" w:rsidRPr="00C84568" w:rsidRDefault="00F53059" w:rsidP="00074101">
            <w:pPr>
              <w:ind w:left="-120" w:right="-108"/>
            </w:pPr>
            <w:r>
              <w:t>=</w:t>
            </w:r>
          </w:p>
        </w:tc>
        <w:tc>
          <w:tcPr>
            <w:tcW w:w="3198" w:type="dxa"/>
          </w:tcPr>
          <w:p w:rsidR="00F53059" w:rsidRDefault="00F53059" w:rsidP="00074101">
            <w:pPr>
              <w:widowControl w:val="0"/>
              <w:autoSpaceDE w:val="0"/>
              <w:autoSpaceDN w:val="0"/>
              <w:adjustRightInd w:val="0"/>
              <w:ind w:left="45" w:right="69"/>
            </w:pPr>
            <w:r>
              <w:t>6.06 pounds of LNG</w:t>
            </w:r>
          </w:p>
        </w:tc>
      </w:tr>
      <w:tr w:rsidR="00436AFC" w:rsidTr="00074101">
        <w:trPr>
          <w:trHeight w:val="666"/>
        </w:trPr>
        <w:tc>
          <w:tcPr>
            <w:tcW w:w="3024" w:type="dxa"/>
          </w:tcPr>
          <w:p w:rsidR="00436AFC" w:rsidRDefault="00436AFC" w:rsidP="00074101">
            <w:pPr>
              <w:widowControl w:val="0"/>
              <w:autoSpaceDE w:val="0"/>
              <w:autoSpaceDN w:val="0"/>
              <w:adjustRightInd w:val="0"/>
              <w:ind w:left="180" w:right="99" w:hanging="180"/>
            </w:pPr>
            <w:r>
              <w:t xml:space="preserve">On </w:t>
            </w:r>
            <w:r w:rsidR="00074101">
              <w:t>and</w:t>
            </w:r>
            <w:r>
              <w:t xml:space="preserve"> after July 1, 2017</w:t>
            </w:r>
            <w:r w:rsidR="00D144E4">
              <w:t>,</w:t>
            </w:r>
            <w:r w:rsidR="00074101">
              <w:t xml:space="preserve"> </w:t>
            </w:r>
            <w:r>
              <w:t>for propane, one DGE</w:t>
            </w:r>
          </w:p>
        </w:tc>
        <w:tc>
          <w:tcPr>
            <w:tcW w:w="306" w:type="dxa"/>
          </w:tcPr>
          <w:p w:rsidR="00436AFC" w:rsidRPr="00C84568" w:rsidRDefault="00436AFC" w:rsidP="00074101">
            <w:pPr>
              <w:ind w:left="-120" w:right="-108"/>
            </w:pPr>
            <w:r>
              <w:t>=</w:t>
            </w:r>
          </w:p>
        </w:tc>
        <w:tc>
          <w:tcPr>
            <w:tcW w:w="3198" w:type="dxa"/>
          </w:tcPr>
          <w:p w:rsidR="00436AFC" w:rsidRDefault="00436AFC" w:rsidP="00074101">
            <w:pPr>
              <w:widowControl w:val="0"/>
              <w:autoSpaceDE w:val="0"/>
              <w:autoSpaceDN w:val="0"/>
              <w:adjustRightInd w:val="0"/>
              <w:ind w:left="45" w:right="69"/>
            </w:pPr>
            <w:r>
              <w:t>6.41 pounds of propane</w:t>
            </w:r>
          </w:p>
        </w:tc>
      </w:tr>
      <w:tr w:rsidR="00DC68AD" w:rsidRPr="00DC68AD" w:rsidTr="00074101">
        <w:trPr>
          <w:trHeight w:val="936"/>
        </w:trPr>
        <w:tc>
          <w:tcPr>
            <w:tcW w:w="3024" w:type="dxa"/>
          </w:tcPr>
          <w:p w:rsidR="00DC68AD" w:rsidRDefault="00DC68AD" w:rsidP="00074101">
            <w:pPr>
              <w:widowControl w:val="0"/>
              <w:autoSpaceDE w:val="0"/>
              <w:autoSpaceDN w:val="0"/>
              <w:adjustRightInd w:val="0"/>
              <w:ind w:left="180" w:right="99" w:hanging="180"/>
            </w:pPr>
            <w:r>
              <w:t xml:space="preserve">On and after July 1, 2014, </w:t>
            </w:r>
            <w:r w:rsidR="00074101">
              <w:t xml:space="preserve">for </w:t>
            </w:r>
            <w:r>
              <w:t>CNG, one GGE</w:t>
            </w:r>
          </w:p>
          <w:p w:rsidR="00D144E4" w:rsidRDefault="00D144E4" w:rsidP="00074101">
            <w:pPr>
              <w:widowControl w:val="0"/>
              <w:autoSpaceDE w:val="0"/>
              <w:autoSpaceDN w:val="0"/>
              <w:adjustRightInd w:val="0"/>
              <w:ind w:left="180" w:right="99" w:hanging="180"/>
            </w:pPr>
          </w:p>
        </w:tc>
        <w:tc>
          <w:tcPr>
            <w:tcW w:w="306" w:type="dxa"/>
          </w:tcPr>
          <w:p w:rsidR="00DC68AD" w:rsidRPr="00DC68AD" w:rsidRDefault="00DC68AD" w:rsidP="00074101">
            <w:pPr>
              <w:ind w:left="-120" w:right="-108"/>
              <w:rPr>
                <w:sz w:val="20"/>
                <w:szCs w:val="20"/>
              </w:rPr>
            </w:pPr>
            <w:r>
              <w:t>=</w:t>
            </w:r>
          </w:p>
        </w:tc>
        <w:tc>
          <w:tcPr>
            <w:tcW w:w="3198" w:type="dxa"/>
          </w:tcPr>
          <w:p w:rsidR="00DC68AD" w:rsidRPr="00DC68AD" w:rsidRDefault="00DC68AD" w:rsidP="00074101">
            <w:pPr>
              <w:widowControl w:val="0"/>
              <w:autoSpaceDE w:val="0"/>
              <w:autoSpaceDN w:val="0"/>
              <w:adjustRightInd w:val="0"/>
              <w:ind w:left="45" w:right="69"/>
              <w:rPr>
                <w:sz w:val="20"/>
                <w:szCs w:val="20"/>
              </w:rPr>
            </w:pPr>
            <w:r>
              <w:t>5.660 pounds or 0.678 kilograms of compressed natural gas</w:t>
            </w:r>
          </w:p>
        </w:tc>
      </w:tr>
    </w:tbl>
    <w:p w:rsidR="00B87CB9" w:rsidRDefault="00B87CB9" w:rsidP="001E1BF5"/>
    <w:p w:rsidR="00B87CB9" w:rsidRDefault="00B87CB9" w:rsidP="00B87CB9">
      <w:pPr>
        <w:widowControl w:val="0"/>
        <w:autoSpaceDE w:val="0"/>
        <w:autoSpaceDN w:val="0"/>
        <w:adjustRightInd w:val="0"/>
        <w:ind w:left="1440" w:hanging="720"/>
      </w:pPr>
      <w:r>
        <w:t>f)</w:t>
      </w:r>
      <w:r>
        <w:tab/>
        <w:t xml:space="preserve">For carriers registered under the IFTA </w:t>
      </w:r>
      <w:r w:rsidR="0088363A">
        <w:t>that</w:t>
      </w:r>
      <w:r>
        <w:t xml:space="preserve"> consume </w:t>
      </w:r>
      <w:r w:rsidR="004D7F2E">
        <w:t>CNG, LNG and LPG</w:t>
      </w:r>
      <w:r>
        <w:t xml:space="preserve"> that </w:t>
      </w:r>
      <w:r w:rsidR="004D7F2E">
        <w:t>is not sold in GGEs/DGEs</w:t>
      </w:r>
      <w:r>
        <w:t xml:space="preserve">, the fuels must be converted to </w:t>
      </w:r>
      <w:r w:rsidR="004D7F2E">
        <w:t>GGEs/DGEs</w:t>
      </w:r>
      <w:r>
        <w:t xml:space="preserve"> using the conversion factor </w:t>
      </w:r>
      <w:r w:rsidR="004D7F2E">
        <w:t xml:space="preserve">in subsection </w:t>
      </w:r>
      <w:r w:rsidR="00DC68AD">
        <w:t>(e)</w:t>
      </w:r>
      <w:r w:rsidR="00AC0B94">
        <w:t>.</w:t>
      </w:r>
      <w:r>
        <w:t xml:space="preserve"> </w:t>
      </w:r>
    </w:p>
    <w:p w:rsidR="008A253A" w:rsidRDefault="008A253A" w:rsidP="001E1BF5"/>
    <w:p w:rsidR="00B87CB9" w:rsidRDefault="00B87CB9" w:rsidP="00B87CB9">
      <w:pPr>
        <w:widowControl w:val="0"/>
        <w:autoSpaceDE w:val="0"/>
        <w:autoSpaceDN w:val="0"/>
        <w:adjustRightInd w:val="0"/>
        <w:ind w:left="1440" w:hanging="720"/>
      </w:pPr>
      <w:r>
        <w:t>g)</w:t>
      </w:r>
      <w:r>
        <w:tab/>
        <w:t xml:space="preserve">In order for a licensee to obtain credit for tax-paid retail purchases, a receipt or invoice, a credit card receipt, or microfilm/microfiche of the receipt or invoice must be retained by the licensee showing evidence of </w:t>
      </w:r>
      <w:r w:rsidR="0088363A">
        <w:t>the</w:t>
      </w:r>
      <w:r>
        <w:t xml:space="preserve"> purchases and tax having been paid by the licensee directly to the applicable jurisdiction or at the pump. The receipt must contain the following information: </w:t>
      </w:r>
    </w:p>
    <w:p w:rsidR="008A253A" w:rsidRDefault="008A253A" w:rsidP="001E1BF5"/>
    <w:p w:rsidR="00B87CB9" w:rsidRDefault="00B87CB9" w:rsidP="00B87CB9">
      <w:pPr>
        <w:widowControl w:val="0"/>
        <w:autoSpaceDE w:val="0"/>
        <w:autoSpaceDN w:val="0"/>
        <w:adjustRightInd w:val="0"/>
        <w:ind w:left="2160" w:hanging="720"/>
      </w:pPr>
      <w:r>
        <w:t>1)</w:t>
      </w:r>
      <w:r>
        <w:tab/>
        <w:t xml:space="preserve">date of purchase; </w:t>
      </w:r>
    </w:p>
    <w:p w:rsidR="008A253A" w:rsidRDefault="008A253A" w:rsidP="001E1BF5"/>
    <w:p w:rsidR="00B87CB9" w:rsidRDefault="00B87CB9" w:rsidP="00B87CB9">
      <w:pPr>
        <w:widowControl w:val="0"/>
        <w:autoSpaceDE w:val="0"/>
        <w:autoSpaceDN w:val="0"/>
        <w:adjustRightInd w:val="0"/>
        <w:ind w:left="2160" w:hanging="720"/>
      </w:pPr>
      <w:r>
        <w:t>2)</w:t>
      </w:r>
      <w:r>
        <w:tab/>
        <w:t xml:space="preserve">seller's name and address; </w:t>
      </w:r>
    </w:p>
    <w:p w:rsidR="008A253A" w:rsidRDefault="008A253A" w:rsidP="001E1BF5"/>
    <w:p w:rsidR="00B87CB9" w:rsidRDefault="00B87CB9" w:rsidP="00B87CB9">
      <w:pPr>
        <w:widowControl w:val="0"/>
        <w:autoSpaceDE w:val="0"/>
        <w:autoSpaceDN w:val="0"/>
        <w:adjustRightInd w:val="0"/>
        <w:ind w:left="2160" w:hanging="720"/>
      </w:pPr>
      <w:r>
        <w:t>3)</w:t>
      </w:r>
      <w:r>
        <w:tab/>
        <w:t>number of gallons</w:t>
      </w:r>
      <w:r w:rsidR="004D7F2E">
        <w:t>/GGE/DGE</w:t>
      </w:r>
      <w:r>
        <w:t xml:space="preserve"> purchased; </w:t>
      </w:r>
    </w:p>
    <w:p w:rsidR="008A253A" w:rsidRDefault="008A253A" w:rsidP="001E1BF5"/>
    <w:p w:rsidR="00B87CB9" w:rsidRDefault="00B87CB9" w:rsidP="00B87CB9">
      <w:pPr>
        <w:widowControl w:val="0"/>
        <w:autoSpaceDE w:val="0"/>
        <w:autoSpaceDN w:val="0"/>
        <w:adjustRightInd w:val="0"/>
        <w:ind w:left="2160" w:hanging="720"/>
      </w:pPr>
      <w:r>
        <w:t>4)</w:t>
      </w:r>
      <w:r>
        <w:tab/>
        <w:t xml:space="preserve">fuel type; </w:t>
      </w:r>
    </w:p>
    <w:p w:rsidR="008A253A" w:rsidRDefault="008A253A" w:rsidP="001E1BF5"/>
    <w:p w:rsidR="00B87CB9" w:rsidRDefault="00B87CB9" w:rsidP="00B87CB9">
      <w:pPr>
        <w:widowControl w:val="0"/>
        <w:autoSpaceDE w:val="0"/>
        <w:autoSpaceDN w:val="0"/>
        <w:adjustRightInd w:val="0"/>
        <w:ind w:left="2160" w:hanging="720"/>
      </w:pPr>
      <w:r>
        <w:t>5)</w:t>
      </w:r>
      <w:r>
        <w:tab/>
        <w:t>price per gallon</w:t>
      </w:r>
      <w:r w:rsidR="004D7F2E">
        <w:t>/GGEs/DGEs</w:t>
      </w:r>
      <w:r>
        <w:t xml:space="preserve"> or total amount of sale; </w:t>
      </w:r>
    </w:p>
    <w:p w:rsidR="008A253A" w:rsidRDefault="008A253A" w:rsidP="001E1BF5"/>
    <w:p w:rsidR="00B87CB9" w:rsidRDefault="00B87CB9" w:rsidP="00B87CB9">
      <w:pPr>
        <w:widowControl w:val="0"/>
        <w:autoSpaceDE w:val="0"/>
        <w:autoSpaceDN w:val="0"/>
        <w:adjustRightInd w:val="0"/>
        <w:ind w:left="2160" w:hanging="720"/>
      </w:pPr>
      <w:r>
        <w:t>6)</w:t>
      </w:r>
      <w:r>
        <w:tab/>
        <w:t xml:space="preserve">unit numbers; and </w:t>
      </w:r>
    </w:p>
    <w:p w:rsidR="008A253A" w:rsidRDefault="008A253A" w:rsidP="001E1BF5"/>
    <w:p w:rsidR="00B87CB9" w:rsidRDefault="00B87CB9" w:rsidP="00B87CB9">
      <w:pPr>
        <w:widowControl w:val="0"/>
        <w:autoSpaceDE w:val="0"/>
        <w:autoSpaceDN w:val="0"/>
        <w:adjustRightInd w:val="0"/>
        <w:ind w:left="2160" w:hanging="720"/>
      </w:pPr>
      <w:r>
        <w:t>7)</w:t>
      </w:r>
      <w:r>
        <w:tab/>
        <w:t xml:space="preserve">purchaser's name (in the case of a lessee/lessor agreement, receipts will be accepted in either name, provided a legal connection can be made to </w:t>
      </w:r>
      <w:r>
        <w:lastRenderedPageBreak/>
        <w:t xml:space="preserve">reporting party). </w:t>
      </w:r>
    </w:p>
    <w:p w:rsidR="008A253A" w:rsidRDefault="008A253A" w:rsidP="001E1BF5"/>
    <w:p w:rsidR="00B87CB9" w:rsidRDefault="00B87CB9" w:rsidP="00B87CB9">
      <w:pPr>
        <w:widowControl w:val="0"/>
        <w:autoSpaceDE w:val="0"/>
        <w:autoSpaceDN w:val="0"/>
        <w:adjustRightInd w:val="0"/>
        <w:ind w:left="1440" w:hanging="720"/>
      </w:pPr>
      <w:r>
        <w:t>h)</w:t>
      </w:r>
      <w:r>
        <w:tab/>
        <w:t xml:space="preserve">In the case of withdrawals from licensee-owned, tax-paid bulk storage, credit may be obtained only if the following records are maintained: </w:t>
      </w:r>
    </w:p>
    <w:p w:rsidR="008A253A" w:rsidRDefault="008A253A" w:rsidP="001E1BF5"/>
    <w:p w:rsidR="00B87CB9" w:rsidRDefault="00B87CB9" w:rsidP="00B87CB9">
      <w:pPr>
        <w:widowControl w:val="0"/>
        <w:autoSpaceDE w:val="0"/>
        <w:autoSpaceDN w:val="0"/>
        <w:adjustRightInd w:val="0"/>
        <w:ind w:left="2160" w:hanging="720"/>
      </w:pPr>
      <w:r>
        <w:t>1)</w:t>
      </w:r>
      <w:r>
        <w:tab/>
        <w:t xml:space="preserve">date of withdrawal; </w:t>
      </w:r>
    </w:p>
    <w:p w:rsidR="008A253A" w:rsidRDefault="008A253A" w:rsidP="001E1BF5"/>
    <w:p w:rsidR="00B87CB9" w:rsidRDefault="00B87CB9" w:rsidP="00B87CB9">
      <w:pPr>
        <w:widowControl w:val="0"/>
        <w:autoSpaceDE w:val="0"/>
        <w:autoSpaceDN w:val="0"/>
        <w:adjustRightInd w:val="0"/>
        <w:ind w:left="2160" w:hanging="720"/>
      </w:pPr>
      <w:r>
        <w:t>2)</w:t>
      </w:r>
      <w:r>
        <w:tab/>
        <w:t>number of gallons</w:t>
      </w:r>
      <w:r w:rsidR="004D7F2E">
        <w:t>/GGEs/DGEs</w:t>
      </w:r>
      <w:r>
        <w:t xml:space="preserve">; </w:t>
      </w:r>
    </w:p>
    <w:p w:rsidR="008A253A" w:rsidRDefault="008A253A" w:rsidP="001E1BF5"/>
    <w:p w:rsidR="00B87CB9" w:rsidRDefault="00B87CB9" w:rsidP="00B87CB9">
      <w:pPr>
        <w:widowControl w:val="0"/>
        <w:autoSpaceDE w:val="0"/>
        <w:autoSpaceDN w:val="0"/>
        <w:adjustRightInd w:val="0"/>
        <w:ind w:left="2160" w:hanging="720"/>
      </w:pPr>
      <w:r>
        <w:t>3)</w:t>
      </w:r>
      <w:r>
        <w:tab/>
        <w:t xml:space="preserve">fuel type; </w:t>
      </w:r>
    </w:p>
    <w:p w:rsidR="008A253A" w:rsidRDefault="008A253A" w:rsidP="001E1BF5"/>
    <w:p w:rsidR="00B87CB9" w:rsidRDefault="00B87CB9" w:rsidP="00B87CB9">
      <w:pPr>
        <w:widowControl w:val="0"/>
        <w:autoSpaceDE w:val="0"/>
        <w:autoSpaceDN w:val="0"/>
        <w:adjustRightInd w:val="0"/>
        <w:ind w:left="2160" w:hanging="720"/>
      </w:pPr>
      <w:r>
        <w:t>4)</w:t>
      </w:r>
      <w:r>
        <w:tab/>
        <w:t xml:space="preserve">unit number (upon application by a licensee, the Department may waive the requirement of unit numbers for fuel withdrawn from the licensee's own bulk storage and placed in its commercial motor vehicles. The licensee must show that adequate records are maintained to distinguish fuel placed in commercial vs. non-commercial motor vehicles for all member jurisdictions); and </w:t>
      </w:r>
    </w:p>
    <w:p w:rsidR="008A253A" w:rsidRDefault="008A253A" w:rsidP="001E1BF5"/>
    <w:p w:rsidR="00B87CB9" w:rsidRDefault="00B87CB9" w:rsidP="00B87CB9">
      <w:pPr>
        <w:widowControl w:val="0"/>
        <w:autoSpaceDE w:val="0"/>
        <w:autoSpaceDN w:val="0"/>
        <w:adjustRightInd w:val="0"/>
        <w:ind w:left="2160" w:hanging="720"/>
      </w:pPr>
      <w:r>
        <w:t>5)</w:t>
      </w:r>
      <w:r>
        <w:tab/>
        <w:t xml:space="preserve">purchase and inventory records to substantiate that tax was paid on all bulk purchases. </w:t>
      </w:r>
    </w:p>
    <w:p w:rsidR="008A253A" w:rsidRDefault="008A253A" w:rsidP="001E1BF5"/>
    <w:p w:rsidR="00B87CB9" w:rsidRDefault="00B87CB9" w:rsidP="00B87CB9">
      <w:pPr>
        <w:widowControl w:val="0"/>
        <w:autoSpaceDE w:val="0"/>
        <w:autoSpaceDN w:val="0"/>
        <w:adjustRightInd w:val="0"/>
        <w:ind w:left="1440" w:hanging="720"/>
      </w:pPr>
      <w:r>
        <w:t>i)</w:t>
      </w:r>
      <w:r>
        <w:tab/>
        <w:t xml:space="preserve">Carriers registered under the IFTA must pay all taxes due to all member jurisdictions with one </w:t>
      </w:r>
      <w:r w:rsidR="00814FCA">
        <w:t>payment made</w:t>
      </w:r>
      <w:r>
        <w:t xml:space="preserve"> to the Department. </w:t>
      </w:r>
      <w:r w:rsidR="006A2200" w:rsidRPr="006A2200">
        <w:t>On and after January 1, 2013, payment shall be made electronically by ACH debit in accordance with 86 Ill. Adm. Code 750.</w:t>
      </w:r>
    </w:p>
    <w:p w:rsidR="008A253A" w:rsidRDefault="008A253A" w:rsidP="001E1BF5"/>
    <w:p w:rsidR="00B87CB9" w:rsidRDefault="00B87CB9" w:rsidP="00B87CB9">
      <w:pPr>
        <w:widowControl w:val="0"/>
        <w:autoSpaceDE w:val="0"/>
        <w:autoSpaceDN w:val="0"/>
        <w:adjustRightInd w:val="0"/>
        <w:ind w:left="1440" w:hanging="720"/>
      </w:pPr>
      <w:r>
        <w:t>j)</w:t>
      </w:r>
      <w:r>
        <w:tab/>
      </w:r>
      <w:r w:rsidR="006A2200" w:rsidRPr="006A2200">
        <w:rPr>
          <w:snapToGrid w:val="0"/>
        </w:rPr>
        <w:t>Through December 31, 2012, returns</w:t>
      </w:r>
      <w:r>
        <w:t xml:space="preserve"> shall be filed on forms provided by the Department.</w:t>
      </w:r>
      <w:r w:rsidR="00814FCA">
        <w:t xml:space="preserve">  </w:t>
      </w:r>
      <w:r w:rsidR="006A2200" w:rsidRPr="006A2200">
        <w:rPr>
          <w:snapToGrid w:val="0"/>
        </w:rPr>
        <w:t>On and after January 1, 2013, returns shall be filed electronically in accordance with 86 Ill. Adm. Code 760.</w:t>
      </w:r>
    </w:p>
    <w:p w:rsidR="008A253A" w:rsidRDefault="008A253A" w:rsidP="001E1BF5"/>
    <w:p w:rsidR="00B87CB9" w:rsidRDefault="00B87CB9" w:rsidP="00B87CB9">
      <w:pPr>
        <w:widowControl w:val="0"/>
        <w:autoSpaceDE w:val="0"/>
        <w:autoSpaceDN w:val="0"/>
        <w:adjustRightInd w:val="0"/>
        <w:ind w:left="1440" w:hanging="720"/>
      </w:pPr>
      <w:r>
        <w:t>k)</w:t>
      </w:r>
      <w:r>
        <w:tab/>
        <w:t xml:space="preserve">If a licensee uses a reporting service for his </w:t>
      </w:r>
      <w:r w:rsidR="0088363A">
        <w:t xml:space="preserve">or her </w:t>
      </w:r>
      <w:r>
        <w:t xml:space="preserve">motor fuel use taxes, </w:t>
      </w:r>
      <w:r w:rsidR="006A2200" w:rsidRPr="006A2200">
        <w:rPr>
          <w:snapToGrid w:val="0"/>
        </w:rPr>
        <w:t>the licensee must maintain a power of attorney in its books and records</w:t>
      </w:r>
      <w:r>
        <w:t>.</w:t>
      </w:r>
      <w:r w:rsidRPr="000103E2">
        <w:t xml:space="preserve"> </w:t>
      </w:r>
      <w:r w:rsidR="006A2200" w:rsidRPr="000103E2">
        <w:rPr>
          <w:snapToGrid w:val="0"/>
        </w:rPr>
        <w:t>Use of a</w:t>
      </w:r>
      <w:r w:rsidRPr="000103E2">
        <w:t xml:space="preserve"> </w:t>
      </w:r>
      <w:r>
        <w:t xml:space="preserve">power of attorney does not relieve the licensee of the legal obligations associated with the license. The licensee is responsible for the payment of taxes as well as all acts and omissions of the reporting service. </w:t>
      </w:r>
      <w:r w:rsidR="00814FCA">
        <w:t>Decals</w:t>
      </w:r>
      <w:r>
        <w:t xml:space="preserve"> and </w:t>
      </w:r>
      <w:r w:rsidR="00DC7E42">
        <w:t>licenses</w:t>
      </w:r>
      <w:r w:rsidR="0057497C">
        <w:t xml:space="preserve"> </w:t>
      </w:r>
      <w:r>
        <w:t xml:space="preserve">will always be </w:t>
      </w:r>
      <w:r w:rsidR="00814FCA">
        <w:t>delivered</w:t>
      </w:r>
      <w:r>
        <w:t xml:space="preserve"> directly to the licensee. </w:t>
      </w:r>
    </w:p>
    <w:p w:rsidR="008A253A" w:rsidRDefault="008A253A" w:rsidP="001E1BF5"/>
    <w:p w:rsidR="00B87CB9" w:rsidRDefault="00B87CB9" w:rsidP="00B87CB9">
      <w:pPr>
        <w:widowControl w:val="0"/>
        <w:autoSpaceDE w:val="0"/>
        <w:autoSpaceDN w:val="0"/>
        <w:adjustRightInd w:val="0"/>
        <w:ind w:left="1440" w:hanging="720"/>
      </w:pPr>
      <w:r>
        <w:t>l)</w:t>
      </w:r>
      <w:r>
        <w:tab/>
        <w:t xml:space="preserve">Reports not filed or full payment of taxes not made by the due date shall be considered late and any taxes due considered delinquent. The licensee shall be assessed a penalty of $50 or 10 percent of the delinquent taxes, whichever is greater, for failure to file a report, for filing a late report, or for underpayment of taxes due. </w:t>
      </w:r>
      <w:r w:rsidR="00814FCA">
        <w:t xml:space="preserve"> For reasonable cause shown, the Department may waive </w:t>
      </w:r>
      <w:r w:rsidR="00DC7E42">
        <w:t xml:space="preserve">a </w:t>
      </w:r>
      <w:r w:rsidR="00814FCA">
        <w:t>penalty.  For a fleet based in a U.S. jurisdiction, interest shall be set at an annual rate of</w:t>
      </w:r>
      <w:r w:rsidR="00DC7E42">
        <w:t xml:space="preserve"> 2</w:t>
      </w:r>
      <w:r w:rsidR="00814FCA">
        <w:t xml:space="preserve"> percentage points above the underpayment rate established under </w:t>
      </w:r>
      <w:r w:rsidR="00DC7E42">
        <w:t>s</w:t>
      </w:r>
      <w:r w:rsidR="00814FCA">
        <w:t xml:space="preserve">ection 6621(a)(2) of the Internal Revenue Code, adjusted </w:t>
      </w:r>
      <w:r w:rsidR="00DC7E42">
        <w:t>on an annual basis on January 1</w:t>
      </w:r>
      <w:r w:rsidR="00814FCA">
        <w:t xml:space="preserve"> of each year.  Interest shall accrue at 1/12 </w:t>
      </w:r>
      <w:r w:rsidR="007D00F4">
        <w:t xml:space="preserve">of </w:t>
      </w:r>
      <w:r w:rsidR="00814FCA">
        <w:t xml:space="preserve">this annual rate </w:t>
      </w:r>
      <w:r w:rsidR="00A26903">
        <w:t xml:space="preserve">per month </w:t>
      </w:r>
      <w:r w:rsidR="00814FCA">
        <w:t xml:space="preserve">until </w:t>
      </w:r>
      <w:r w:rsidR="00814FCA">
        <w:lastRenderedPageBreak/>
        <w:t>liability is paid.  The Department shall publish the interest rate by January 1 of each year on its website.</w:t>
      </w:r>
      <w:r>
        <w:t xml:space="preserve"> </w:t>
      </w:r>
      <w:r w:rsidR="00814FCA">
        <w:t xml:space="preserve"> </w:t>
      </w:r>
      <w:r>
        <w:t xml:space="preserve">For IFTA licensees, the Department may waive interest for another jurisdiction only with that jurisdiction's approval. </w:t>
      </w:r>
    </w:p>
    <w:p w:rsidR="00B87CB9" w:rsidRDefault="00B87CB9" w:rsidP="001E1BF5"/>
    <w:p w:rsidR="006A2200" w:rsidRPr="00D55B37" w:rsidRDefault="004D7F2E">
      <w:pPr>
        <w:pStyle w:val="JCARSourceNote"/>
        <w:ind w:left="720"/>
      </w:pPr>
      <w:r>
        <w:t>(Source:  Amended at 4</w:t>
      </w:r>
      <w:r w:rsidR="00CB1179">
        <w:t>4</w:t>
      </w:r>
      <w:r>
        <w:t xml:space="preserve"> Ill. Reg. </w:t>
      </w:r>
      <w:r w:rsidR="0004636E">
        <w:t>3282</w:t>
      </w:r>
      <w:r>
        <w:t xml:space="preserve">, effective </w:t>
      </w:r>
      <w:bookmarkStart w:id="0" w:name="_GoBack"/>
      <w:r w:rsidR="0004636E">
        <w:t>February 10, 2020</w:t>
      </w:r>
      <w:bookmarkEnd w:id="0"/>
      <w:r>
        <w:t>)</w:t>
      </w:r>
    </w:p>
    <w:sectPr w:rsidR="006A2200" w:rsidRPr="00D55B37" w:rsidSect="00BD69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69A6"/>
    <w:rsid w:val="000103E2"/>
    <w:rsid w:val="0004636E"/>
    <w:rsid w:val="00074101"/>
    <w:rsid w:val="000C6CE1"/>
    <w:rsid w:val="001E1BF5"/>
    <w:rsid w:val="00302044"/>
    <w:rsid w:val="00353B17"/>
    <w:rsid w:val="00436AFC"/>
    <w:rsid w:val="004D25E5"/>
    <w:rsid w:val="004D7F2E"/>
    <w:rsid w:val="005569C6"/>
    <w:rsid w:val="0057497C"/>
    <w:rsid w:val="005C3366"/>
    <w:rsid w:val="00677954"/>
    <w:rsid w:val="006A0DD3"/>
    <w:rsid w:val="006A2200"/>
    <w:rsid w:val="006A4BBB"/>
    <w:rsid w:val="00712616"/>
    <w:rsid w:val="007D00F4"/>
    <w:rsid w:val="00814FCA"/>
    <w:rsid w:val="0088363A"/>
    <w:rsid w:val="008A253A"/>
    <w:rsid w:val="009C0362"/>
    <w:rsid w:val="00A26903"/>
    <w:rsid w:val="00AB72D4"/>
    <w:rsid w:val="00AC0B94"/>
    <w:rsid w:val="00B87CB9"/>
    <w:rsid w:val="00BD69A6"/>
    <w:rsid w:val="00CB1179"/>
    <w:rsid w:val="00CE1CA8"/>
    <w:rsid w:val="00D036B9"/>
    <w:rsid w:val="00D144E4"/>
    <w:rsid w:val="00D45470"/>
    <w:rsid w:val="00D66AB1"/>
    <w:rsid w:val="00D73998"/>
    <w:rsid w:val="00DC68AD"/>
    <w:rsid w:val="00DC7E42"/>
    <w:rsid w:val="00F17B15"/>
    <w:rsid w:val="00F53059"/>
    <w:rsid w:val="00FE4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0031C18-628D-45DF-A3FD-B0728B7F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A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Lane, Arlene L.</cp:lastModifiedBy>
  <cp:revision>3</cp:revision>
  <dcterms:created xsi:type="dcterms:W3CDTF">2019-12-05T19:44:00Z</dcterms:created>
  <dcterms:modified xsi:type="dcterms:W3CDTF">2020-02-19T14:58:00Z</dcterms:modified>
</cp:coreProperties>
</file>