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C2" w:rsidRDefault="006443C2" w:rsidP="00644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3C2" w:rsidRDefault="006443C2" w:rsidP="006443C2">
      <w:pPr>
        <w:widowControl w:val="0"/>
        <w:autoSpaceDE w:val="0"/>
        <w:autoSpaceDN w:val="0"/>
        <w:adjustRightInd w:val="0"/>
      </w:pPr>
      <w:r>
        <w:t xml:space="preserve">AUTHORITY:  Implementing and authorized by the Tobacco Product Manufacturers' Escrow Act [30 ILCS 168]. </w:t>
      </w:r>
    </w:p>
    <w:sectPr w:rsidR="006443C2" w:rsidSect="00644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3C2"/>
    <w:rsid w:val="002A4488"/>
    <w:rsid w:val="005C3366"/>
    <w:rsid w:val="006443C2"/>
    <w:rsid w:val="00720179"/>
    <w:rsid w:val="00B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Tobacco Product Manufacturers' Escrow Act [30 ILCS 168]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Tobacco Product Manufacturers' Escrow Act [30 ILCS 168]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