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32" w:rsidRDefault="00C90432" w:rsidP="00C904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0432" w:rsidRDefault="00C90432" w:rsidP="00C90432">
      <w:pPr>
        <w:widowControl w:val="0"/>
        <w:autoSpaceDE w:val="0"/>
        <w:autoSpaceDN w:val="0"/>
        <w:adjustRightInd w:val="0"/>
      </w:pPr>
      <w:r>
        <w:t>AUTHORITY:  Implementing and authorized by the Cannabis and Controlled Substances Tax Act (Ill. Rev. Stat. 19</w:t>
      </w:r>
      <w:r w:rsidR="00BF6DC0">
        <w:t>87</w:t>
      </w:r>
      <w:r>
        <w:t xml:space="preserve">, ch. 120, par. 2151 et seq.). </w:t>
      </w:r>
    </w:p>
    <w:sectPr w:rsidR="00C90432" w:rsidSect="00C90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432"/>
    <w:rsid w:val="00111CF9"/>
    <w:rsid w:val="00397B0C"/>
    <w:rsid w:val="005C3366"/>
    <w:rsid w:val="00BF6DC0"/>
    <w:rsid w:val="00C90432"/>
    <w:rsid w:val="00D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Cannabis and Controlled Substances Tax Act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Cannabis and Controlled Substances Tax Act (Ill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