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30" w:rsidRDefault="00470830" w:rsidP="004708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0830" w:rsidRDefault="00470830" w:rsidP="004708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2500.70  Precedence of Tax Levies</w:t>
      </w:r>
      <w:r>
        <w:t xml:space="preserve"> </w:t>
      </w:r>
    </w:p>
    <w:p w:rsidR="00470830" w:rsidRDefault="00470830" w:rsidP="00470830">
      <w:pPr>
        <w:widowControl w:val="0"/>
        <w:autoSpaceDE w:val="0"/>
        <w:autoSpaceDN w:val="0"/>
        <w:adjustRightInd w:val="0"/>
      </w:pPr>
    </w:p>
    <w:p w:rsidR="00470830" w:rsidRDefault="00470830" w:rsidP="00470830">
      <w:pPr>
        <w:widowControl w:val="0"/>
        <w:autoSpaceDE w:val="0"/>
        <w:autoSpaceDN w:val="0"/>
        <w:adjustRightInd w:val="0"/>
      </w:pPr>
      <w:r>
        <w:t xml:space="preserve">A federal tax levy shall take precedence over the deductions authorized in accordance with these rules. </w:t>
      </w:r>
    </w:p>
    <w:sectPr w:rsidR="00470830" w:rsidSect="00470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830"/>
    <w:rsid w:val="00067930"/>
    <w:rsid w:val="00470830"/>
    <w:rsid w:val="005C3366"/>
    <w:rsid w:val="00622189"/>
    <w:rsid w:val="00D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