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E6" w:rsidRDefault="001D7EE6" w:rsidP="001D7EE6">
      <w:pPr>
        <w:widowControl w:val="0"/>
        <w:autoSpaceDE w:val="0"/>
        <w:autoSpaceDN w:val="0"/>
        <w:adjustRightInd w:val="0"/>
      </w:pPr>
      <w:bookmarkStart w:id="0" w:name="_GoBack"/>
      <w:bookmarkEnd w:id="0"/>
    </w:p>
    <w:p w:rsidR="001D7EE6" w:rsidRDefault="001D7EE6" w:rsidP="001D7EE6">
      <w:pPr>
        <w:widowControl w:val="0"/>
        <w:autoSpaceDE w:val="0"/>
        <w:autoSpaceDN w:val="0"/>
        <w:adjustRightInd w:val="0"/>
      </w:pPr>
      <w:r>
        <w:rPr>
          <w:b/>
          <w:bCs/>
        </w:rPr>
        <w:t>Section 630.210  Sick Leave</w:t>
      </w:r>
      <w:r>
        <w:t xml:space="preserve"> </w:t>
      </w:r>
    </w:p>
    <w:p w:rsidR="001D7EE6" w:rsidRDefault="001D7EE6" w:rsidP="001D7EE6">
      <w:pPr>
        <w:widowControl w:val="0"/>
        <w:autoSpaceDE w:val="0"/>
        <w:autoSpaceDN w:val="0"/>
        <w:adjustRightInd w:val="0"/>
      </w:pPr>
    </w:p>
    <w:p w:rsidR="001D7EE6" w:rsidRDefault="001D7EE6" w:rsidP="001D7EE6">
      <w:pPr>
        <w:widowControl w:val="0"/>
        <w:autoSpaceDE w:val="0"/>
        <w:autoSpaceDN w:val="0"/>
        <w:adjustRightInd w:val="0"/>
      </w:pPr>
      <w:r>
        <w:t xml:space="preserve">All employees, except those in emergency, intermittent, per diem, or temporary status unless such status is the result of accepting a nonpermanent work assignment in another class, shall accumulate sick leave at the rate of one (1) day for each month's service.  Sick leave may be used for illness, disability, or injury of the employee, appointments with doctor, dentist, or other professional medical practitioner and also may be used for not more than thirty (30) days in one (1) calendar year in the event of serious illness, disability, injury, or death of a member of the employee's immediate family.  The Department may require evidence to substantiate that such leave days were used for the purposes set forth. </w:t>
      </w:r>
    </w:p>
    <w:sectPr w:rsidR="001D7EE6" w:rsidSect="001D7E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EE6"/>
    <w:rsid w:val="001D7EE6"/>
    <w:rsid w:val="00240AF5"/>
    <w:rsid w:val="00563AD2"/>
    <w:rsid w:val="005C3366"/>
    <w:rsid w:val="00EE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