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EB" w:rsidRDefault="00D034EB" w:rsidP="00D034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34EB" w:rsidRDefault="00D034EB" w:rsidP="00D034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500.470  Effective Date of Rules</w:t>
      </w:r>
      <w:r>
        <w:t xml:space="preserve"> </w:t>
      </w:r>
    </w:p>
    <w:p w:rsidR="00D034EB" w:rsidRDefault="00D034EB" w:rsidP="00D034EB">
      <w:pPr>
        <w:widowControl w:val="0"/>
        <w:autoSpaceDE w:val="0"/>
        <w:autoSpaceDN w:val="0"/>
        <w:adjustRightInd w:val="0"/>
      </w:pPr>
    </w:p>
    <w:p w:rsidR="00D034EB" w:rsidRDefault="00D034EB" w:rsidP="00D034EB">
      <w:pPr>
        <w:widowControl w:val="0"/>
        <w:autoSpaceDE w:val="0"/>
        <w:autoSpaceDN w:val="0"/>
        <w:adjustRightInd w:val="0"/>
      </w:pPr>
      <w:r>
        <w:t xml:space="preserve">This Part and amendments thereto shall become effective 10 days after copies thereof have been filed with the Secretary of State </w:t>
      </w:r>
      <w:r w:rsidR="00992ED4">
        <w:t>–</w:t>
      </w:r>
      <w:r>
        <w:t xml:space="preserve"> Index Division, except that, in case of emergency, Rules or amendments thereto may become effective immediately upon such filing if accompanied by a certificate executed by the Director pursuant to applicable provisions of the Illinois Administrative Procedure Act (Ill. Rev. Stat. 1991, </w:t>
      </w:r>
      <w:proofErr w:type="spellStart"/>
      <w:r>
        <w:t>ch.</w:t>
      </w:r>
      <w:proofErr w:type="spellEnd"/>
      <w:r>
        <w:t xml:space="preserve"> 127, pars. 1001-1 et seq.). </w:t>
      </w:r>
    </w:p>
    <w:sectPr w:rsidR="00D034EB" w:rsidSect="00D034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4EB"/>
    <w:rsid w:val="005C3366"/>
    <w:rsid w:val="008D280D"/>
    <w:rsid w:val="00992ED4"/>
    <w:rsid w:val="00B441C0"/>
    <w:rsid w:val="00D034EB"/>
    <w:rsid w:val="00D1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