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8E4" w:rsidRDefault="008D48E4" w:rsidP="008D48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48E4" w:rsidRDefault="008D48E4" w:rsidP="008D48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331.90  Appeal</w:t>
      </w:r>
      <w:r>
        <w:t xml:space="preserve"> </w:t>
      </w:r>
    </w:p>
    <w:p w:rsidR="008D48E4" w:rsidRDefault="008D48E4" w:rsidP="008D48E4">
      <w:pPr>
        <w:widowControl w:val="0"/>
        <w:autoSpaceDE w:val="0"/>
        <w:autoSpaceDN w:val="0"/>
        <w:adjustRightInd w:val="0"/>
      </w:pPr>
    </w:p>
    <w:p w:rsidR="008D48E4" w:rsidRDefault="008D48E4" w:rsidP="008D48E4">
      <w:pPr>
        <w:widowControl w:val="0"/>
        <w:autoSpaceDE w:val="0"/>
        <w:autoSpaceDN w:val="0"/>
        <w:adjustRightInd w:val="0"/>
      </w:pPr>
      <w:r>
        <w:t xml:space="preserve">An employee who does not accept disposition of a claim by the Department is entitled to file such claim in the Court of Claims.  Such disposition is not </w:t>
      </w:r>
      <w:proofErr w:type="spellStart"/>
      <w:r>
        <w:t>grievable</w:t>
      </w:r>
      <w:proofErr w:type="spellEnd"/>
      <w:r>
        <w:t xml:space="preserve"> nor appealable.  Disposition by the Director does not constitute a final administrative decision for purposes of Article III of the Administrative Review Law (Ill. Rev. Stat. 1983, </w:t>
      </w:r>
      <w:proofErr w:type="spellStart"/>
      <w:r>
        <w:t>ch.</w:t>
      </w:r>
      <w:proofErr w:type="spellEnd"/>
      <w:r>
        <w:t xml:space="preserve"> 110, pars. 3-101 et seq.). </w:t>
      </w:r>
    </w:p>
    <w:sectPr w:rsidR="008D48E4" w:rsidSect="008D48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48E4"/>
    <w:rsid w:val="005C3366"/>
    <w:rsid w:val="008D48E4"/>
    <w:rsid w:val="00A565DD"/>
    <w:rsid w:val="00AE768B"/>
    <w:rsid w:val="00B7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331</vt:lpstr>
    </vt:vector>
  </TitlesOfParts>
  <Company>state of illinois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331</dc:title>
  <dc:subject/>
  <dc:creator>Illinois General Assembly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