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7A80" w14:textId="77777777" w:rsidR="00AE57CB" w:rsidRDefault="00AE57CB" w:rsidP="00AE57CB">
      <w:pPr>
        <w:widowControl w:val="0"/>
        <w:autoSpaceDE w:val="0"/>
        <w:autoSpaceDN w:val="0"/>
        <w:adjustRightInd w:val="0"/>
      </w:pPr>
    </w:p>
    <w:p w14:paraId="022645E3" w14:textId="77777777" w:rsidR="00AE57CB" w:rsidRDefault="00AE57CB" w:rsidP="00AE57CB">
      <w:pPr>
        <w:widowControl w:val="0"/>
        <w:autoSpaceDE w:val="0"/>
        <w:autoSpaceDN w:val="0"/>
        <w:adjustRightInd w:val="0"/>
      </w:pPr>
      <w:r>
        <w:rPr>
          <w:b/>
          <w:bCs/>
        </w:rPr>
        <w:t>Section 310.210  Prevailing Rate</w:t>
      </w:r>
      <w:r>
        <w:t xml:space="preserve"> </w:t>
      </w:r>
    </w:p>
    <w:p w14:paraId="1153D096" w14:textId="77777777" w:rsidR="00AE57CB" w:rsidRDefault="00AE57CB" w:rsidP="00AE57CB">
      <w:pPr>
        <w:widowControl w:val="0"/>
        <w:autoSpaceDE w:val="0"/>
        <w:autoSpaceDN w:val="0"/>
        <w:adjustRightInd w:val="0"/>
      </w:pPr>
    </w:p>
    <w:p w14:paraId="5775CA08" w14:textId="77777777" w:rsidR="00AE57CB" w:rsidRDefault="00AE57CB" w:rsidP="00AE57CB">
      <w:pPr>
        <w:widowControl w:val="0"/>
        <w:autoSpaceDE w:val="0"/>
        <w:autoSpaceDN w:val="0"/>
        <w:adjustRightInd w:val="0"/>
        <w:ind w:left="1440" w:hanging="720"/>
      </w:pPr>
      <w:r>
        <w:t>a)</w:t>
      </w:r>
      <w:r>
        <w:tab/>
        <w:t xml:space="preserve">Classes − The following are prevailing rate classes: </w:t>
      </w:r>
    </w:p>
    <w:p w14:paraId="5CD486F2" w14:textId="77777777" w:rsidR="00AE57CB" w:rsidRDefault="00AE57CB" w:rsidP="00AE57CB">
      <w:pPr>
        <w:widowControl w:val="0"/>
        <w:autoSpaceDE w:val="0"/>
        <w:autoSpaceDN w:val="0"/>
        <w:adjustRightInd w:val="0"/>
      </w:pPr>
    </w:p>
    <w:tbl>
      <w:tblPr>
        <w:tblW w:w="8658" w:type="dxa"/>
        <w:tblInd w:w="1440" w:type="dxa"/>
        <w:tblLook w:val="01E0" w:firstRow="1" w:lastRow="1" w:firstColumn="1" w:lastColumn="1" w:noHBand="0" w:noVBand="0"/>
      </w:tblPr>
      <w:tblGrid>
        <w:gridCol w:w="4617"/>
        <w:gridCol w:w="4041"/>
      </w:tblGrid>
      <w:tr w:rsidR="00AE57CB" w14:paraId="018ECED4" w14:textId="77777777" w:rsidTr="00160B6F">
        <w:tc>
          <w:tcPr>
            <w:tcW w:w="4617" w:type="dxa"/>
            <w:hideMark/>
          </w:tcPr>
          <w:p w14:paraId="6049DD49" w14:textId="77777777" w:rsidR="00AE57CB" w:rsidRDefault="00AE57CB" w:rsidP="00160B6F">
            <w:pPr>
              <w:widowControl w:val="0"/>
              <w:autoSpaceDE w:val="0"/>
              <w:autoSpaceDN w:val="0"/>
              <w:adjustRightInd w:val="0"/>
            </w:pPr>
            <w:r>
              <w:t>Baker</w:t>
            </w:r>
          </w:p>
        </w:tc>
        <w:tc>
          <w:tcPr>
            <w:tcW w:w="4041" w:type="dxa"/>
            <w:hideMark/>
          </w:tcPr>
          <w:p w14:paraId="0CBB1E87" w14:textId="77777777" w:rsidR="00AE57CB" w:rsidRDefault="00AE57CB" w:rsidP="00160B6F">
            <w:pPr>
              <w:widowControl w:val="0"/>
              <w:autoSpaceDE w:val="0"/>
              <w:autoSpaceDN w:val="0"/>
              <w:adjustRightInd w:val="0"/>
            </w:pPr>
            <w:r w:rsidRPr="00083834">
              <w:t>Plumber</w:t>
            </w:r>
          </w:p>
        </w:tc>
      </w:tr>
      <w:tr w:rsidR="00AE57CB" w14:paraId="5EF68640" w14:textId="77777777" w:rsidTr="00160B6F">
        <w:tc>
          <w:tcPr>
            <w:tcW w:w="4617" w:type="dxa"/>
            <w:hideMark/>
          </w:tcPr>
          <w:p w14:paraId="5EA14DD1" w14:textId="77777777" w:rsidR="00AE57CB" w:rsidRDefault="00AE57CB" w:rsidP="00160B6F">
            <w:pPr>
              <w:widowControl w:val="0"/>
              <w:autoSpaceDE w:val="0"/>
              <w:autoSpaceDN w:val="0"/>
              <w:adjustRightInd w:val="0"/>
            </w:pPr>
            <w:r>
              <w:t>Barber</w:t>
            </w:r>
          </w:p>
        </w:tc>
        <w:tc>
          <w:tcPr>
            <w:tcW w:w="4041" w:type="dxa"/>
            <w:hideMark/>
          </w:tcPr>
          <w:p w14:paraId="6D332A9C" w14:textId="77777777" w:rsidR="00AE57CB" w:rsidRDefault="00AE57CB" w:rsidP="00160B6F">
            <w:pPr>
              <w:widowControl w:val="0"/>
              <w:autoSpaceDE w:val="0"/>
              <w:autoSpaceDN w:val="0"/>
              <w:adjustRightInd w:val="0"/>
            </w:pPr>
            <w:r>
              <w:t>Plumbing Foreman</w:t>
            </w:r>
          </w:p>
        </w:tc>
      </w:tr>
      <w:tr w:rsidR="00AE57CB" w14:paraId="21442669" w14:textId="77777777" w:rsidTr="00160B6F">
        <w:tc>
          <w:tcPr>
            <w:tcW w:w="4617" w:type="dxa"/>
            <w:hideMark/>
          </w:tcPr>
          <w:p w14:paraId="32892E87" w14:textId="77777777" w:rsidR="00AE57CB" w:rsidRDefault="00AE57CB" w:rsidP="00160B6F">
            <w:pPr>
              <w:widowControl w:val="0"/>
              <w:autoSpaceDE w:val="0"/>
              <w:autoSpaceDN w:val="0"/>
              <w:adjustRightInd w:val="0"/>
            </w:pPr>
            <w:r>
              <w:t>Brickmason</w:t>
            </w:r>
          </w:p>
        </w:tc>
        <w:tc>
          <w:tcPr>
            <w:tcW w:w="4041" w:type="dxa"/>
            <w:hideMark/>
          </w:tcPr>
          <w:p w14:paraId="53CAAC63" w14:textId="77777777" w:rsidR="00AE57CB" w:rsidRDefault="00AE57CB" w:rsidP="00160B6F">
            <w:pPr>
              <w:widowControl w:val="0"/>
              <w:autoSpaceDE w:val="0"/>
              <w:autoSpaceDN w:val="0"/>
              <w:adjustRightInd w:val="0"/>
            </w:pPr>
            <w:r>
              <w:t>Roofer</w:t>
            </w:r>
          </w:p>
        </w:tc>
      </w:tr>
      <w:tr w:rsidR="00AE57CB" w14:paraId="140E7807" w14:textId="77777777" w:rsidTr="00160B6F">
        <w:tc>
          <w:tcPr>
            <w:tcW w:w="4617" w:type="dxa"/>
            <w:hideMark/>
          </w:tcPr>
          <w:p w14:paraId="4E8258D2" w14:textId="77777777" w:rsidR="00AE57CB" w:rsidRDefault="00AE57CB" w:rsidP="00160B6F">
            <w:pPr>
              <w:widowControl w:val="0"/>
              <w:autoSpaceDE w:val="0"/>
              <w:autoSpaceDN w:val="0"/>
              <w:adjustRightInd w:val="0"/>
            </w:pPr>
            <w:r>
              <w:t>Carpenter</w:t>
            </w:r>
          </w:p>
        </w:tc>
        <w:tc>
          <w:tcPr>
            <w:tcW w:w="4041" w:type="dxa"/>
            <w:hideMark/>
          </w:tcPr>
          <w:p w14:paraId="79963F7C" w14:textId="77777777" w:rsidR="00AE57CB" w:rsidRDefault="00AE57CB" w:rsidP="00160B6F">
            <w:pPr>
              <w:widowControl w:val="0"/>
              <w:autoSpaceDE w:val="0"/>
              <w:autoSpaceDN w:val="0"/>
              <w:adjustRightInd w:val="0"/>
            </w:pPr>
            <w:r>
              <w:t>Sewage Plant Operator</w:t>
            </w:r>
          </w:p>
        </w:tc>
      </w:tr>
      <w:tr w:rsidR="00AE57CB" w14:paraId="1B42A43F" w14:textId="77777777" w:rsidTr="00160B6F">
        <w:tc>
          <w:tcPr>
            <w:tcW w:w="4617" w:type="dxa"/>
            <w:hideMark/>
          </w:tcPr>
          <w:p w14:paraId="0A1F6150" w14:textId="77777777" w:rsidR="00AE57CB" w:rsidRDefault="00AE57CB" w:rsidP="00160B6F">
            <w:pPr>
              <w:widowControl w:val="0"/>
              <w:autoSpaceDE w:val="0"/>
              <w:autoSpaceDN w:val="0"/>
              <w:adjustRightInd w:val="0"/>
            </w:pPr>
            <w:r>
              <w:t>Carpenter Foreman</w:t>
            </w:r>
          </w:p>
        </w:tc>
        <w:tc>
          <w:tcPr>
            <w:tcW w:w="4041" w:type="dxa"/>
            <w:hideMark/>
          </w:tcPr>
          <w:p w14:paraId="70E4F973" w14:textId="77777777" w:rsidR="00AE57CB" w:rsidRDefault="00AE57CB" w:rsidP="00160B6F">
            <w:pPr>
              <w:widowControl w:val="0"/>
              <w:autoSpaceDE w:val="0"/>
              <w:autoSpaceDN w:val="0"/>
              <w:adjustRightInd w:val="0"/>
            </w:pPr>
            <w:r>
              <w:t>Sign Painter</w:t>
            </w:r>
          </w:p>
        </w:tc>
      </w:tr>
      <w:tr w:rsidR="00AE57CB" w14:paraId="5938EFEC" w14:textId="77777777" w:rsidTr="00160B6F">
        <w:tc>
          <w:tcPr>
            <w:tcW w:w="4617" w:type="dxa"/>
            <w:hideMark/>
          </w:tcPr>
          <w:p w14:paraId="66A3B4EA" w14:textId="77777777" w:rsidR="00AE57CB" w:rsidRDefault="00AE57CB" w:rsidP="00160B6F">
            <w:pPr>
              <w:widowControl w:val="0"/>
              <w:autoSpaceDE w:val="0"/>
              <w:autoSpaceDN w:val="0"/>
              <w:adjustRightInd w:val="0"/>
            </w:pPr>
            <w:r>
              <w:t>Cosmetologist</w:t>
            </w:r>
          </w:p>
        </w:tc>
        <w:tc>
          <w:tcPr>
            <w:tcW w:w="4041" w:type="dxa"/>
            <w:hideMark/>
          </w:tcPr>
          <w:p w14:paraId="31605F68" w14:textId="77777777" w:rsidR="00AE57CB" w:rsidRDefault="00AE57CB" w:rsidP="00160B6F">
            <w:pPr>
              <w:widowControl w:val="0"/>
              <w:autoSpaceDE w:val="0"/>
              <w:autoSpaceDN w:val="0"/>
              <w:adjustRightInd w:val="0"/>
            </w:pPr>
            <w:r>
              <w:t>Sign Painter Helper</w:t>
            </w:r>
          </w:p>
        </w:tc>
      </w:tr>
      <w:tr w:rsidR="00AE57CB" w14:paraId="0827E97C" w14:textId="77777777" w:rsidTr="00160B6F">
        <w:tc>
          <w:tcPr>
            <w:tcW w:w="4617" w:type="dxa"/>
            <w:hideMark/>
          </w:tcPr>
          <w:p w14:paraId="78591416" w14:textId="77777777" w:rsidR="00AE57CB" w:rsidRDefault="00AE57CB" w:rsidP="00160B6F">
            <w:pPr>
              <w:widowControl w:val="0"/>
              <w:autoSpaceDE w:val="0"/>
              <w:autoSpaceDN w:val="0"/>
              <w:adjustRightInd w:val="0"/>
            </w:pPr>
            <w:r>
              <w:t>Electrician</w:t>
            </w:r>
          </w:p>
        </w:tc>
        <w:tc>
          <w:tcPr>
            <w:tcW w:w="4041" w:type="dxa"/>
            <w:hideMark/>
          </w:tcPr>
          <w:p w14:paraId="0C648AA7" w14:textId="77777777" w:rsidR="00AE57CB" w:rsidRDefault="00AE57CB" w:rsidP="00160B6F">
            <w:pPr>
              <w:widowControl w:val="0"/>
              <w:autoSpaceDE w:val="0"/>
              <w:autoSpaceDN w:val="0"/>
              <w:adjustRightInd w:val="0"/>
            </w:pPr>
            <w:r>
              <w:t>Stationary Engineer</w:t>
            </w:r>
          </w:p>
        </w:tc>
      </w:tr>
      <w:tr w:rsidR="00AE57CB" w14:paraId="1C80347E" w14:textId="77777777" w:rsidTr="00160B6F">
        <w:tc>
          <w:tcPr>
            <w:tcW w:w="4617" w:type="dxa"/>
            <w:hideMark/>
          </w:tcPr>
          <w:p w14:paraId="7E34F217" w14:textId="77777777" w:rsidR="00AE57CB" w:rsidRDefault="00AE57CB" w:rsidP="00160B6F">
            <w:pPr>
              <w:widowControl w:val="0"/>
              <w:autoSpaceDE w:val="0"/>
              <w:autoSpaceDN w:val="0"/>
              <w:adjustRightInd w:val="0"/>
            </w:pPr>
            <w:r>
              <w:t>Electrician Foreman</w:t>
            </w:r>
          </w:p>
        </w:tc>
        <w:tc>
          <w:tcPr>
            <w:tcW w:w="4041" w:type="dxa"/>
            <w:hideMark/>
          </w:tcPr>
          <w:p w14:paraId="50385776" w14:textId="77777777" w:rsidR="00AE57CB" w:rsidRDefault="00AE57CB" w:rsidP="00160B6F">
            <w:pPr>
              <w:widowControl w:val="0"/>
              <w:autoSpaceDE w:val="0"/>
              <w:autoSpaceDN w:val="0"/>
              <w:adjustRightInd w:val="0"/>
            </w:pPr>
            <w:r>
              <w:t>Stationary Engineer – Assistant Chief</w:t>
            </w:r>
          </w:p>
        </w:tc>
      </w:tr>
      <w:tr w:rsidR="00AE57CB" w14:paraId="4D8883A1" w14:textId="77777777" w:rsidTr="00160B6F">
        <w:tc>
          <w:tcPr>
            <w:tcW w:w="4617" w:type="dxa"/>
            <w:hideMark/>
          </w:tcPr>
          <w:p w14:paraId="7D6A8B74" w14:textId="77777777" w:rsidR="00AE57CB" w:rsidRDefault="00AE57CB" w:rsidP="00160B6F">
            <w:pPr>
              <w:widowControl w:val="0"/>
              <w:autoSpaceDE w:val="0"/>
              <w:autoSpaceDN w:val="0"/>
              <w:adjustRightInd w:val="0"/>
              <w:ind w:right="-360"/>
            </w:pPr>
            <w:r>
              <w:t>Highway Construction Equipment Operator</w:t>
            </w:r>
          </w:p>
        </w:tc>
        <w:tc>
          <w:tcPr>
            <w:tcW w:w="4041" w:type="dxa"/>
            <w:hideMark/>
          </w:tcPr>
          <w:p w14:paraId="7B74DE7E" w14:textId="77777777" w:rsidR="00AE57CB" w:rsidRDefault="00AE57CB" w:rsidP="00160B6F">
            <w:pPr>
              <w:widowControl w:val="0"/>
              <w:autoSpaceDE w:val="0"/>
              <w:autoSpaceDN w:val="0"/>
              <w:adjustRightInd w:val="0"/>
            </w:pPr>
            <w:r>
              <w:t>Stationary Engineer – Chief</w:t>
            </w:r>
          </w:p>
        </w:tc>
      </w:tr>
      <w:tr w:rsidR="00AE57CB" w14:paraId="7E1D719C" w14:textId="77777777" w:rsidTr="00160B6F">
        <w:tc>
          <w:tcPr>
            <w:tcW w:w="4617" w:type="dxa"/>
            <w:hideMark/>
          </w:tcPr>
          <w:p w14:paraId="092E9B12" w14:textId="77777777" w:rsidR="00AE57CB" w:rsidRDefault="00AE57CB" w:rsidP="00160B6F">
            <w:pPr>
              <w:widowControl w:val="0"/>
              <w:autoSpaceDE w:val="0"/>
              <w:autoSpaceDN w:val="0"/>
              <w:adjustRightInd w:val="0"/>
            </w:pPr>
            <w:r>
              <w:t>Laborer</w:t>
            </w:r>
          </w:p>
        </w:tc>
        <w:tc>
          <w:tcPr>
            <w:tcW w:w="4041" w:type="dxa"/>
            <w:hideMark/>
          </w:tcPr>
          <w:p w14:paraId="5BFFC460" w14:textId="77777777" w:rsidR="00AE57CB" w:rsidRDefault="00AE57CB" w:rsidP="00160B6F">
            <w:pPr>
              <w:widowControl w:val="0"/>
              <w:autoSpaceDE w:val="0"/>
              <w:autoSpaceDN w:val="0"/>
              <w:adjustRightInd w:val="0"/>
            </w:pPr>
            <w:r>
              <w:t>Stationary Fireman</w:t>
            </w:r>
          </w:p>
        </w:tc>
      </w:tr>
      <w:tr w:rsidR="00AE57CB" w14:paraId="6F3DE959" w14:textId="77777777" w:rsidTr="00160B6F">
        <w:tc>
          <w:tcPr>
            <w:tcW w:w="4617" w:type="dxa"/>
            <w:hideMark/>
          </w:tcPr>
          <w:p w14:paraId="4A9C6C9A" w14:textId="77777777" w:rsidR="00AE57CB" w:rsidRDefault="00AE57CB" w:rsidP="00160B6F">
            <w:pPr>
              <w:widowControl w:val="0"/>
              <w:autoSpaceDE w:val="0"/>
              <w:autoSpaceDN w:val="0"/>
              <w:adjustRightInd w:val="0"/>
            </w:pPr>
            <w:r>
              <w:t>Laborer (Building)</w:t>
            </w:r>
          </w:p>
        </w:tc>
        <w:tc>
          <w:tcPr>
            <w:tcW w:w="4041" w:type="dxa"/>
            <w:hideMark/>
          </w:tcPr>
          <w:p w14:paraId="6DFF1E65" w14:textId="77777777" w:rsidR="00AE57CB" w:rsidRDefault="00AE57CB" w:rsidP="00160B6F">
            <w:pPr>
              <w:widowControl w:val="0"/>
              <w:autoSpaceDE w:val="0"/>
              <w:autoSpaceDN w:val="0"/>
              <w:adjustRightInd w:val="0"/>
            </w:pPr>
            <w:r>
              <w:t>Steamfitter</w:t>
            </w:r>
          </w:p>
        </w:tc>
      </w:tr>
      <w:tr w:rsidR="00AE57CB" w14:paraId="7A251E5B" w14:textId="77777777" w:rsidTr="00160B6F">
        <w:tc>
          <w:tcPr>
            <w:tcW w:w="4617" w:type="dxa"/>
            <w:hideMark/>
          </w:tcPr>
          <w:p w14:paraId="352DE176" w14:textId="77777777" w:rsidR="00AE57CB" w:rsidRDefault="00AE57CB" w:rsidP="00160B6F">
            <w:pPr>
              <w:widowControl w:val="0"/>
              <w:autoSpaceDE w:val="0"/>
              <w:autoSpaceDN w:val="0"/>
              <w:adjustRightInd w:val="0"/>
            </w:pPr>
            <w:r>
              <w:t>Laborer Foreman</w:t>
            </w:r>
          </w:p>
        </w:tc>
        <w:tc>
          <w:tcPr>
            <w:tcW w:w="4041" w:type="dxa"/>
            <w:hideMark/>
          </w:tcPr>
          <w:p w14:paraId="3C2F3586" w14:textId="77777777" w:rsidR="00AE57CB" w:rsidRDefault="00AE57CB" w:rsidP="00160B6F">
            <w:pPr>
              <w:widowControl w:val="0"/>
              <w:autoSpaceDE w:val="0"/>
              <w:autoSpaceDN w:val="0"/>
              <w:adjustRightInd w:val="0"/>
            </w:pPr>
            <w:r>
              <w:t>Teacher of Barbering</w:t>
            </w:r>
          </w:p>
        </w:tc>
      </w:tr>
      <w:tr w:rsidR="00AE57CB" w14:paraId="396532B6" w14:textId="77777777" w:rsidTr="00160B6F">
        <w:tc>
          <w:tcPr>
            <w:tcW w:w="4617" w:type="dxa"/>
            <w:hideMark/>
          </w:tcPr>
          <w:p w14:paraId="7D0A909A" w14:textId="77777777" w:rsidR="00AE57CB" w:rsidRDefault="00AE57CB" w:rsidP="00160B6F">
            <w:pPr>
              <w:widowControl w:val="0"/>
              <w:autoSpaceDE w:val="0"/>
              <w:autoSpaceDN w:val="0"/>
              <w:adjustRightInd w:val="0"/>
            </w:pPr>
            <w:r>
              <w:t>Machinist</w:t>
            </w:r>
          </w:p>
        </w:tc>
        <w:tc>
          <w:tcPr>
            <w:tcW w:w="4041" w:type="dxa"/>
            <w:hideMark/>
          </w:tcPr>
          <w:p w14:paraId="195A546A" w14:textId="77777777" w:rsidR="00AE57CB" w:rsidRDefault="00AE57CB" w:rsidP="00160B6F">
            <w:pPr>
              <w:widowControl w:val="0"/>
              <w:autoSpaceDE w:val="0"/>
              <w:autoSpaceDN w:val="0"/>
              <w:adjustRightInd w:val="0"/>
            </w:pPr>
            <w:r>
              <w:t>Teacher of Beauty Culture</w:t>
            </w:r>
          </w:p>
        </w:tc>
      </w:tr>
      <w:tr w:rsidR="00AE57CB" w14:paraId="6C870082" w14:textId="77777777" w:rsidTr="00160B6F">
        <w:trPr>
          <w:trHeight w:val="288"/>
        </w:trPr>
        <w:tc>
          <w:tcPr>
            <w:tcW w:w="4617" w:type="dxa"/>
            <w:hideMark/>
          </w:tcPr>
          <w:p w14:paraId="7A573F8A" w14:textId="77777777" w:rsidR="00AE57CB" w:rsidRDefault="00AE57CB" w:rsidP="00160B6F">
            <w:pPr>
              <w:widowControl w:val="0"/>
              <w:autoSpaceDE w:val="0"/>
              <w:autoSpaceDN w:val="0"/>
              <w:adjustRightInd w:val="0"/>
            </w:pPr>
            <w:r>
              <w:t>Maintenance Worker (Power Plant)</w:t>
            </w:r>
          </w:p>
        </w:tc>
        <w:tc>
          <w:tcPr>
            <w:tcW w:w="4041" w:type="dxa"/>
            <w:hideMark/>
          </w:tcPr>
          <w:p w14:paraId="002D7FA8" w14:textId="77777777" w:rsidR="00AE57CB" w:rsidRDefault="00AE57CB" w:rsidP="00160B6F">
            <w:pPr>
              <w:widowControl w:val="0"/>
              <w:autoSpaceDE w:val="0"/>
              <w:autoSpaceDN w:val="0"/>
              <w:adjustRightInd w:val="0"/>
            </w:pPr>
            <w:r>
              <w:t>Tinsmith</w:t>
            </w:r>
          </w:p>
        </w:tc>
      </w:tr>
      <w:tr w:rsidR="00AE57CB" w14:paraId="69EF3C32" w14:textId="77777777" w:rsidTr="00160B6F">
        <w:trPr>
          <w:trHeight w:val="288"/>
        </w:trPr>
        <w:tc>
          <w:tcPr>
            <w:tcW w:w="4617" w:type="dxa"/>
            <w:hideMark/>
          </w:tcPr>
          <w:p w14:paraId="122B6913" w14:textId="77777777" w:rsidR="00AE57CB" w:rsidRDefault="00AE57CB" w:rsidP="00160B6F">
            <w:pPr>
              <w:widowControl w:val="0"/>
              <w:autoSpaceDE w:val="0"/>
              <w:autoSpaceDN w:val="0"/>
              <w:adjustRightInd w:val="0"/>
            </w:pPr>
            <w:r>
              <w:t>Painter</w:t>
            </w:r>
          </w:p>
        </w:tc>
        <w:tc>
          <w:tcPr>
            <w:tcW w:w="4041" w:type="dxa"/>
            <w:hideMark/>
          </w:tcPr>
          <w:p w14:paraId="266ACAB5" w14:textId="77777777" w:rsidR="00AE57CB" w:rsidRDefault="00AE57CB" w:rsidP="00160B6F">
            <w:pPr>
              <w:widowControl w:val="0"/>
              <w:autoSpaceDE w:val="0"/>
              <w:autoSpaceDN w:val="0"/>
              <w:adjustRightInd w:val="0"/>
            </w:pPr>
            <w:r>
              <w:t>Trades Tender</w:t>
            </w:r>
          </w:p>
        </w:tc>
      </w:tr>
      <w:tr w:rsidR="00AE57CB" w14:paraId="1FC9809D" w14:textId="77777777" w:rsidTr="00160B6F">
        <w:trPr>
          <w:trHeight w:val="288"/>
        </w:trPr>
        <w:tc>
          <w:tcPr>
            <w:tcW w:w="4617" w:type="dxa"/>
            <w:hideMark/>
          </w:tcPr>
          <w:p w14:paraId="19E53E15" w14:textId="77777777" w:rsidR="00AE57CB" w:rsidRDefault="00AE57CB" w:rsidP="00160B6F">
            <w:pPr>
              <w:widowControl w:val="0"/>
              <w:autoSpaceDE w:val="0"/>
              <w:autoSpaceDN w:val="0"/>
              <w:adjustRightInd w:val="0"/>
            </w:pPr>
            <w:r>
              <w:t>Painter Foreman</w:t>
            </w:r>
          </w:p>
        </w:tc>
        <w:tc>
          <w:tcPr>
            <w:tcW w:w="4041" w:type="dxa"/>
            <w:hideMark/>
          </w:tcPr>
          <w:p w14:paraId="0A8B5F09" w14:textId="77777777" w:rsidR="00AE57CB" w:rsidRDefault="00AE57CB" w:rsidP="00160B6F">
            <w:pPr>
              <w:widowControl w:val="0"/>
              <w:autoSpaceDE w:val="0"/>
              <w:autoSpaceDN w:val="0"/>
              <w:adjustRightInd w:val="0"/>
            </w:pPr>
            <w:r>
              <w:t>Water Plant Operator</w:t>
            </w:r>
          </w:p>
        </w:tc>
      </w:tr>
    </w:tbl>
    <w:p w14:paraId="1057BE30" w14:textId="77777777" w:rsidR="00AE57CB" w:rsidRDefault="00AE57CB" w:rsidP="00AE57CB">
      <w:pPr>
        <w:widowControl w:val="0"/>
        <w:autoSpaceDE w:val="0"/>
        <w:autoSpaceDN w:val="0"/>
        <w:adjustRightInd w:val="0"/>
      </w:pPr>
    </w:p>
    <w:p w14:paraId="1127DEEE" w14:textId="77777777" w:rsidR="00AE57CB" w:rsidRDefault="00AE57CB" w:rsidP="00AE57CB">
      <w:pPr>
        <w:ind w:left="1440" w:hanging="720"/>
      </w:pPr>
      <w:r>
        <w:t>b)</w:t>
      </w:r>
      <w:r>
        <w:tab/>
        <w:t>Boiler Safety Specialist – This section shall apply to employees occupying positions in the Boiler Safety Specialist class that are represented by the RC-008 bargaining unit (see Appendix A, Table L).</w:t>
      </w:r>
    </w:p>
    <w:p w14:paraId="419FF95F" w14:textId="77777777" w:rsidR="00AE57CB" w:rsidRDefault="00AE57CB" w:rsidP="00AE57CB"/>
    <w:p w14:paraId="312E9218" w14:textId="77777777" w:rsidR="00AE57CB" w:rsidRDefault="00AE57CB" w:rsidP="00AE57CB">
      <w:pPr>
        <w:widowControl w:val="0"/>
        <w:autoSpaceDE w:val="0"/>
        <w:autoSpaceDN w:val="0"/>
        <w:adjustRightInd w:val="0"/>
        <w:ind w:left="1440" w:hanging="720"/>
      </w:pPr>
      <w:r>
        <w:t>c)</w:t>
      </w:r>
      <w:r>
        <w:tab/>
        <w:t xml:space="preserve">Rate Certification Process and Effective Date – </w:t>
      </w:r>
      <w:r w:rsidRPr="00A263DB">
        <w:t>Copies of signed agreements between contractors or other employers and the respective union shall be certified to the Illinois State Department of Labor by the international representative of the respective union and shall be considered adequate proof of the prevailing rate of wages to be paid, minus the per hour costs of fringe benefits so designated by agreement, if any, in keeping with past practice. The Illinois Department of Labor shall notify the Department of Central Management Services of the prevailing rate.  The effective date of changes in wage rates shall be on the date of certification by the Illinois Department of Labor.</w:t>
      </w:r>
    </w:p>
    <w:p w14:paraId="62A781BA" w14:textId="77777777" w:rsidR="00AE57CB" w:rsidRDefault="00AE57CB" w:rsidP="00AE57CB">
      <w:pPr>
        <w:widowControl w:val="0"/>
        <w:autoSpaceDE w:val="0"/>
        <w:autoSpaceDN w:val="0"/>
        <w:adjustRightInd w:val="0"/>
      </w:pPr>
    </w:p>
    <w:p w14:paraId="4F28A2B2" w14:textId="77777777" w:rsidR="00AE57CB" w:rsidRDefault="00AE57CB" w:rsidP="00AE57CB">
      <w:pPr>
        <w:widowControl w:val="0"/>
        <w:autoSpaceDE w:val="0"/>
        <w:autoSpaceDN w:val="0"/>
        <w:adjustRightInd w:val="0"/>
        <w:ind w:left="1440" w:hanging="720"/>
      </w:pPr>
      <w:r>
        <w:t>d)</w:t>
      </w:r>
      <w:r>
        <w:tab/>
        <w:t xml:space="preserve">Pension Formula Adjustment − Effective January 1, 2006, employees shall be paid an additional 4.00% above the prevailing rate of wages for employees on the standard pension formula and 5.5% above the prevailing rate of wages for employees on the alternative pension formula, minus the per hour costs of fringe benefits.  </w:t>
      </w:r>
      <w:r w:rsidRPr="00A263DB">
        <w:t>New prevailing rate employees hired on or after December 1, 2013, shall be paid the appropriate/certified prevailing rate which shall not include the additional 4.00% above the prevailing rate of wages on the standard pension formula and 5.5% above the prevailing rate of wages for employees on the alternative pension formula.</w:t>
      </w:r>
    </w:p>
    <w:p w14:paraId="64F6769B" w14:textId="77777777" w:rsidR="00AE57CB" w:rsidRDefault="00AE57CB" w:rsidP="00AE57CB">
      <w:pPr>
        <w:widowControl w:val="0"/>
        <w:autoSpaceDE w:val="0"/>
        <w:autoSpaceDN w:val="0"/>
        <w:adjustRightInd w:val="0"/>
      </w:pPr>
    </w:p>
    <w:p w14:paraId="5E310062" w14:textId="77777777" w:rsidR="00AE57CB" w:rsidRDefault="00AE57CB" w:rsidP="00AE57CB">
      <w:pPr>
        <w:widowControl w:val="0"/>
        <w:autoSpaceDE w:val="0"/>
        <w:autoSpaceDN w:val="0"/>
        <w:adjustRightInd w:val="0"/>
        <w:ind w:left="1440" w:hanging="720"/>
      </w:pPr>
      <w:r>
        <w:lastRenderedPageBreak/>
        <w:t>e)</w:t>
      </w:r>
      <w:r>
        <w:tab/>
        <w:t xml:space="preserve">Maximum Security Rates – Positions in maximum security institutions shall receive a $75 a month adjustment to the employee's monthly wages for all employees with seven or more years of continuous service with the Department of Corrections.  Employees shall receive the adjustment as long as they remain employees at a maximum-security facility. </w:t>
      </w:r>
    </w:p>
    <w:p w14:paraId="18E894E8" w14:textId="77777777" w:rsidR="00AE57CB" w:rsidRDefault="00AE57CB" w:rsidP="00AE57CB">
      <w:pPr>
        <w:widowControl w:val="0"/>
        <w:autoSpaceDE w:val="0"/>
        <w:autoSpaceDN w:val="0"/>
        <w:adjustRightInd w:val="0"/>
      </w:pPr>
    </w:p>
    <w:p w14:paraId="2DA551F0" w14:textId="77777777" w:rsidR="00AE57CB" w:rsidRPr="00A263DB" w:rsidRDefault="00AE57CB" w:rsidP="00AE57CB">
      <w:pPr>
        <w:widowControl w:val="0"/>
        <w:autoSpaceDE w:val="0"/>
        <w:autoSpaceDN w:val="0"/>
        <w:adjustRightInd w:val="0"/>
        <w:ind w:left="1440" w:hanging="720"/>
      </w:pPr>
      <w:r w:rsidRPr="00A263DB">
        <w:t>f)</w:t>
      </w:r>
      <w:r>
        <w:tab/>
      </w:r>
      <w:r w:rsidRPr="00A263DB">
        <w:t>FY2020 Signing Bonus – Upon ratification of the contract, all bargaining unit employees on active payroll effective June 30, 2020 shall receive a one-time signing bonus of $2,500 within fiscal year 2020.  Only employees on active status shall receive the bonus payable after ratification of the collective bargaining agreement. The signing shall be paid as soon as practicable after the ratification of the agreement.</w:t>
      </w:r>
    </w:p>
    <w:p w14:paraId="3A452CDE" w14:textId="77777777" w:rsidR="00AE57CB" w:rsidRPr="00A263DB" w:rsidRDefault="00AE57CB" w:rsidP="00AE57CB">
      <w:pPr>
        <w:widowControl w:val="0"/>
        <w:autoSpaceDE w:val="0"/>
        <w:autoSpaceDN w:val="0"/>
        <w:adjustRightInd w:val="0"/>
      </w:pPr>
    </w:p>
    <w:p w14:paraId="0AD721D6" w14:textId="77777777" w:rsidR="00AE57CB" w:rsidRPr="00A263DB" w:rsidRDefault="00AE57CB" w:rsidP="00AE57CB">
      <w:pPr>
        <w:widowControl w:val="0"/>
        <w:autoSpaceDE w:val="0"/>
        <w:autoSpaceDN w:val="0"/>
        <w:adjustRightInd w:val="0"/>
        <w:ind w:left="1440" w:hanging="720"/>
      </w:pPr>
      <w:r w:rsidRPr="00A263DB">
        <w:t>g)</w:t>
      </w:r>
      <w:r>
        <w:tab/>
      </w:r>
      <w:r w:rsidRPr="00A263DB">
        <w:t>Employee Bonus in Lieu of Merit Incentive Bonus – Those employees who in the past have received a Merit Incentive Bonus and who were employed from July 1, 2018 to June 30, 2019 will receive in the second year of the contract a $600 bonus to be paid on July 1, 2020.  Those employees who in the past have received a Merit Incentive Bonus and who were employed from July 1, 2018 to June 30, 2019 will receive in the third year of the contract a $330 bonus to be paid on July 1, 2021.</w:t>
      </w:r>
    </w:p>
    <w:p w14:paraId="7A39B268" w14:textId="77777777" w:rsidR="00AE57CB" w:rsidRDefault="00AE57CB" w:rsidP="00AE57CB"/>
    <w:p w14:paraId="7280B30E" w14:textId="4A96C3A1" w:rsidR="00282F5C" w:rsidRPr="00AE57CB" w:rsidRDefault="00AE57CB" w:rsidP="00AE57CB">
      <w:pPr>
        <w:ind w:firstLine="720"/>
      </w:pPr>
      <w:r>
        <w:t xml:space="preserve">(Source:  Amended at 46 Ill. Reg. </w:t>
      </w:r>
      <w:r>
        <w:t>11713</w:t>
      </w:r>
      <w:r>
        <w:t xml:space="preserve">, effective </w:t>
      </w:r>
      <w:r>
        <w:t>July 1, 2022</w:t>
      </w:r>
      <w:r>
        <w:t>)</w:t>
      </w:r>
    </w:p>
    <w:sectPr w:rsidR="00282F5C" w:rsidRPr="00AE57CB" w:rsidSect="007E1E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690D"/>
    <w:rsid w:val="0000336C"/>
    <w:rsid w:val="00024EB8"/>
    <w:rsid w:val="000627E0"/>
    <w:rsid w:val="00087329"/>
    <w:rsid w:val="000B2F08"/>
    <w:rsid w:val="000E7C96"/>
    <w:rsid w:val="00107C92"/>
    <w:rsid w:val="00120911"/>
    <w:rsid w:val="001314BF"/>
    <w:rsid w:val="00165393"/>
    <w:rsid w:val="001830C6"/>
    <w:rsid w:val="001972E6"/>
    <w:rsid w:val="002021C8"/>
    <w:rsid w:val="0021606A"/>
    <w:rsid w:val="00235FB3"/>
    <w:rsid w:val="00282F5C"/>
    <w:rsid w:val="00284873"/>
    <w:rsid w:val="002B0363"/>
    <w:rsid w:val="002C6CF0"/>
    <w:rsid w:val="002E67B6"/>
    <w:rsid w:val="002F2E48"/>
    <w:rsid w:val="0031136A"/>
    <w:rsid w:val="0032376E"/>
    <w:rsid w:val="0034690D"/>
    <w:rsid w:val="00351F46"/>
    <w:rsid w:val="00364825"/>
    <w:rsid w:val="003A39B6"/>
    <w:rsid w:val="003B3D2C"/>
    <w:rsid w:val="003B58D8"/>
    <w:rsid w:val="003C5CED"/>
    <w:rsid w:val="003F18EB"/>
    <w:rsid w:val="00426D54"/>
    <w:rsid w:val="00436DB4"/>
    <w:rsid w:val="004672A2"/>
    <w:rsid w:val="004A0822"/>
    <w:rsid w:val="00506C98"/>
    <w:rsid w:val="00524805"/>
    <w:rsid w:val="005248C2"/>
    <w:rsid w:val="005259A1"/>
    <w:rsid w:val="00580353"/>
    <w:rsid w:val="00595412"/>
    <w:rsid w:val="005A7044"/>
    <w:rsid w:val="005A7199"/>
    <w:rsid w:val="005D5111"/>
    <w:rsid w:val="005E21EB"/>
    <w:rsid w:val="005E67F9"/>
    <w:rsid w:val="00612DE0"/>
    <w:rsid w:val="00636353"/>
    <w:rsid w:val="006670FA"/>
    <w:rsid w:val="006C1A92"/>
    <w:rsid w:val="006E1DD4"/>
    <w:rsid w:val="006E1F22"/>
    <w:rsid w:val="00711340"/>
    <w:rsid w:val="007145E7"/>
    <w:rsid w:val="007644B3"/>
    <w:rsid w:val="00771E18"/>
    <w:rsid w:val="007E1EC2"/>
    <w:rsid w:val="007F3A4F"/>
    <w:rsid w:val="00845C8F"/>
    <w:rsid w:val="00856B14"/>
    <w:rsid w:val="00867299"/>
    <w:rsid w:val="0087153C"/>
    <w:rsid w:val="008869F5"/>
    <w:rsid w:val="00886BA3"/>
    <w:rsid w:val="0090561F"/>
    <w:rsid w:val="009144EE"/>
    <w:rsid w:val="00944783"/>
    <w:rsid w:val="009541D6"/>
    <w:rsid w:val="00956CCF"/>
    <w:rsid w:val="009729FB"/>
    <w:rsid w:val="0097376E"/>
    <w:rsid w:val="00977501"/>
    <w:rsid w:val="00982F68"/>
    <w:rsid w:val="0099563A"/>
    <w:rsid w:val="009A3065"/>
    <w:rsid w:val="009C591C"/>
    <w:rsid w:val="009F3E31"/>
    <w:rsid w:val="00A00D6E"/>
    <w:rsid w:val="00A1025A"/>
    <w:rsid w:val="00A263DB"/>
    <w:rsid w:val="00A50A2C"/>
    <w:rsid w:val="00A5286D"/>
    <w:rsid w:val="00AE0F9E"/>
    <w:rsid w:val="00AE57CB"/>
    <w:rsid w:val="00B33EE0"/>
    <w:rsid w:val="00B66202"/>
    <w:rsid w:val="00B84089"/>
    <w:rsid w:val="00B96442"/>
    <w:rsid w:val="00BE08D5"/>
    <w:rsid w:val="00BF6C1E"/>
    <w:rsid w:val="00C04CD8"/>
    <w:rsid w:val="00C131F6"/>
    <w:rsid w:val="00C24BA5"/>
    <w:rsid w:val="00C54342"/>
    <w:rsid w:val="00CC35D5"/>
    <w:rsid w:val="00D828FF"/>
    <w:rsid w:val="00D85C4B"/>
    <w:rsid w:val="00D92C58"/>
    <w:rsid w:val="00D97821"/>
    <w:rsid w:val="00DB426C"/>
    <w:rsid w:val="00DD4BA8"/>
    <w:rsid w:val="00DE6914"/>
    <w:rsid w:val="00DE7A47"/>
    <w:rsid w:val="00DF0309"/>
    <w:rsid w:val="00E05185"/>
    <w:rsid w:val="00E117B1"/>
    <w:rsid w:val="00E8589F"/>
    <w:rsid w:val="00EB5F91"/>
    <w:rsid w:val="00ED62D0"/>
    <w:rsid w:val="00F05006"/>
    <w:rsid w:val="00F52009"/>
    <w:rsid w:val="00F67B96"/>
    <w:rsid w:val="00FE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839F65"/>
  <w15:docId w15:val="{0D33075D-D6FB-4095-A945-E51B8AF6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7C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F05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5</cp:revision>
  <cp:lastPrinted>2005-02-02T16:34:00Z</cp:lastPrinted>
  <dcterms:created xsi:type="dcterms:W3CDTF">2020-10-05T14:41:00Z</dcterms:created>
  <dcterms:modified xsi:type="dcterms:W3CDTF">2022-07-15T17:21:00Z</dcterms:modified>
</cp:coreProperties>
</file>