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1D" w:rsidRDefault="0027491D" w:rsidP="008D4861">
      <w:bookmarkStart w:id="0" w:name="_GoBack"/>
      <w:bookmarkEnd w:id="0"/>
    </w:p>
    <w:p w:rsidR="008D4861" w:rsidRPr="008D4861" w:rsidRDefault="008D4861" w:rsidP="008D4861">
      <w:r w:rsidRPr="008D4861">
        <w:t xml:space="preserve">AUTHORITY: Implementing and authorized by the Employee Blood Donation Leave Act [820 ILCS 149]. </w:t>
      </w:r>
    </w:p>
    <w:sectPr w:rsidR="008D4861" w:rsidRPr="008D486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62D9">
      <w:r>
        <w:separator/>
      </w:r>
    </w:p>
  </w:endnote>
  <w:endnote w:type="continuationSeparator" w:id="0">
    <w:p w:rsidR="00000000" w:rsidRDefault="00CA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62D9">
      <w:r>
        <w:separator/>
      </w:r>
    </w:p>
  </w:footnote>
  <w:footnote w:type="continuationSeparator" w:id="0">
    <w:p w:rsidR="00000000" w:rsidRDefault="00CA6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7491D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D026B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D4861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A62D9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