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A7" w:rsidRDefault="003863A7" w:rsidP="00386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3A7" w:rsidRDefault="003863A7" w:rsidP="003863A7">
      <w:pPr>
        <w:widowControl w:val="0"/>
        <w:autoSpaceDE w:val="0"/>
        <w:autoSpaceDN w:val="0"/>
        <w:adjustRightInd w:val="0"/>
      </w:pPr>
      <w:r>
        <w:t xml:space="preserve">SOURCE:  Filed July 18, 1974, effective August 1, 1974; old rules repealed and new rules adopted and codified at 8 Ill. Reg. 3334, effective March 2, 1984; amended at 15 Ill. Reg. 18003, effective January 1, 1992; amended at 25 Ill. Reg. 4269, effective March 10, 2001. </w:t>
      </w:r>
    </w:p>
    <w:sectPr w:rsidR="003863A7" w:rsidSect="00386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3A7"/>
    <w:rsid w:val="002356A6"/>
    <w:rsid w:val="003863A7"/>
    <w:rsid w:val="005C3366"/>
    <w:rsid w:val="0080173D"/>
    <w:rsid w:val="009B65DD"/>
    <w:rsid w:val="00C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18, 1974, effective August 1, 1974; old rules repealed and new rules adopted and codified at 8 Ill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18, 1974, effective August 1, 1974; old rules repealed and new rules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