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D7" w:rsidRDefault="00E521D7" w:rsidP="00E521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1D7" w:rsidRDefault="00E521D7" w:rsidP="00E521D7">
      <w:pPr>
        <w:widowControl w:val="0"/>
        <w:autoSpaceDE w:val="0"/>
        <w:autoSpaceDN w:val="0"/>
        <w:adjustRightInd w:val="0"/>
      </w:pPr>
      <w:r>
        <w:t xml:space="preserve">AUTHORITY:  </w:t>
      </w:r>
      <w:r w:rsidR="00214FE1">
        <w:t xml:space="preserve">Implementing and authorized by the </w:t>
      </w:r>
      <w:r>
        <w:t xml:space="preserve">Allied Health Care Professional Assistance Law [110 ILCS 905]. </w:t>
      </w:r>
    </w:p>
    <w:sectPr w:rsidR="00E521D7" w:rsidSect="00E52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1D7"/>
    <w:rsid w:val="00214FE1"/>
    <w:rsid w:val="00463942"/>
    <w:rsid w:val="005C3366"/>
    <w:rsid w:val="00AC6C43"/>
    <w:rsid w:val="00E521D7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Allied Health Care Professional Assistance Law [110 ILCS 905]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Allied Health Care Professional Assistance Law [110 ILCS 905]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