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4C3" w:rsidRDefault="002374C3" w:rsidP="00974C08">
      <w:bookmarkStart w:id="0" w:name="_GoBack"/>
      <w:bookmarkEnd w:id="0"/>
    </w:p>
    <w:p w:rsidR="00974C08" w:rsidRPr="00974C08" w:rsidRDefault="00974C08" w:rsidP="00974C08">
      <w:r w:rsidRPr="00974C08">
        <w:t>AUTHORITY:  Implementing and authorized by the Psychiatry Practice Incentive Act [405 ILCS 100].</w:t>
      </w:r>
    </w:p>
    <w:sectPr w:rsidR="00974C08" w:rsidRPr="00974C0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C4F" w:rsidRDefault="00502C4F">
      <w:r>
        <w:separator/>
      </w:r>
    </w:p>
  </w:endnote>
  <w:endnote w:type="continuationSeparator" w:id="0">
    <w:p w:rsidR="00502C4F" w:rsidRDefault="00502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C4F" w:rsidRDefault="00502C4F">
      <w:r>
        <w:separator/>
      </w:r>
    </w:p>
  </w:footnote>
  <w:footnote w:type="continuationSeparator" w:id="0">
    <w:p w:rsidR="00502C4F" w:rsidRDefault="00502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4C0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20A0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4C3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2C4F"/>
    <w:rsid w:val="005039E7"/>
    <w:rsid w:val="00504613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4C08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0C56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