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A9" w:rsidRDefault="007A5BA9" w:rsidP="007A5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BA9" w:rsidRDefault="007A5BA9" w:rsidP="007A5B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  Purpose</w:t>
      </w:r>
      <w:r>
        <w:t xml:space="preserve"> </w:t>
      </w:r>
    </w:p>
    <w:p w:rsidR="007A5BA9" w:rsidRDefault="007A5BA9" w:rsidP="007A5BA9">
      <w:pPr>
        <w:widowControl w:val="0"/>
        <w:autoSpaceDE w:val="0"/>
        <w:autoSpaceDN w:val="0"/>
        <w:adjustRightInd w:val="0"/>
      </w:pPr>
    </w:p>
    <w:p w:rsidR="007A5BA9" w:rsidRDefault="007A5BA9" w:rsidP="007A5BA9">
      <w:pPr>
        <w:widowControl w:val="0"/>
        <w:autoSpaceDE w:val="0"/>
        <w:autoSpaceDN w:val="0"/>
        <w:adjustRightInd w:val="0"/>
      </w:pPr>
      <w:r>
        <w:t xml:space="preserve">These Asbestos Abatement Authority Act Procedures (Procedures) are established pursuant to the Asbestos Abatement Authority Act [20 ILCS 3120] requiring the Capital Development Board (Board or CDB) to develop and implement a program for the identification and abatement of asbestos in all State governmental buildings and to adopt rules and regulations consistent with this purpose. </w:t>
      </w:r>
    </w:p>
    <w:p w:rsidR="007A5BA9" w:rsidRDefault="007A5BA9" w:rsidP="007A5BA9">
      <w:pPr>
        <w:widowControl w:val="0"/>
        <w:autoSpaceDE w:val="0"/>
        <w:autoSpaceDN w:val="0"/>
        <w:adjustRightInd w:val="0"/>
      </w:pPr>
    </w:p>
    <w:p w:rsidR="007A5BA9" w:rsidRDefault="007A5BA9" w:rsidP="007A5B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15218, effective November 15, 1996) </w:t>
      </w:r>
    </w:p>
    <w:sectPr w:rsidR="007A5BA9" w:rsidSect="007A5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BA9"/>
    <w:rsid w:val="004613BC"/>
    <w:rsid w:val="005C3366"/>
    <w:rsid w:val="007A5BA9"/>
    <w:rsid w:val="00BB33E7"/>
    <w:rsid w:val="00E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