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99" w:rsidRDefault="00245F99" w:rsidP="00245F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F99" w:rsidRDefault="00245F99" w:rsidP="00245F99">
      <w:pPr>
        <w:widowControl w:val="0"/>
        <w:autoSpaceDE w:val="0"/>
        <w:autoSpaceDN w:val="0"/>
        <w:adjustRightInd w:val="0"/>
      </w:pPr>
      <w:r>
        <w:t xml:space="preserve">SOURCE:  Adopted at 4 Ill. Reg. 37, p. 1, effective June 1, 1982; amended at 6 Ill. Reg. 1, effective June 1, 1982; codified at 8 Ill. Reg. 8510; amended at 11 Ill. Reg. 8567, effective July 1, 1987; amended at 17 Ill. Reg. 11114, effective July 1, 1993; amended at 22 Ill. Reg. 20137, effective November 5, 1998. </w:t>
      </w:r>
      <w:r>
        <w:tab/>
      </w:r>
    </w:p>
    <w:sectPr w:rsidR="00245F99" w:rsidSect="00245F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F99"/>
    <w:rsid w:val="00030B9D"/>
    <w:rsid w:val="00245F99"/>
    <w:rsid w:val="002E739E"/>
    <w:rsid w:val="005C3366"/>
    <w:rsid w:val="00D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