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625" w:rsidRDefault="00A26625" w:rsidP="00A266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6625" w:rsidRDefault="00A26625" w:rsidP="00A26625">
      <w:pPr>
        <w:widowControl w:val="0"/>
        <w:autoSpaceDE w:val="0"/>
        <w:autoSpaceDN w:val="0"/>
        <w:adjustRightInd w:val="0"/>
      </w:pPr>
      <w:r>
        <w:t xml:space="preserve">AUTHORITY:  Implementing and authorized by the Surface Coal Mining Land Conservation and Reclamation Act [225 ILCS 720]. </w:t>
      </w:r>
    </w:p>
    <w:sectPr w:rsidR="00A26625" w:rsidSect="00A266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6625"/>
    <w:rsid w:val="005C3366"/>
    <w:rsid w:val="00A17546"/>
    <w:rsid w:val="00A26625"/>
    <w:rsid w:val="00C25306"/>
    <w:rsid w:val="00C9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Surface Coal Mining Land Conservation and Reclamation Act [225 ILCS 720]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Surface Coal Mining Land Conservation and Reclamation Act [225 ILCS 720]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