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0C" w:rsidRDefault="003D7E0C" w:rsidP="003D7E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E0C" w:rsidRDefault="003D7E0C" w:rsidP="003D7E0C">
      <w:pPr>
        <w:widowControl w:val="0"/>
        <w:autoSpaceDE w:val="0"/>
        <w:autoSpaceDN w:val="0"/>
        <w:adjustRightInd w:val="0"/>
      </w:pPr>
      <w:r>
        <w:t>SOURCE: Adopted at 4 Ill. Reg. 37, p. 1, effective June 1, 1982; codified at 8 Ill. Reg. 16434; amended at 11 Ill. Reg. 8452, effective July 1, 1987; amended at 17 Ill. Reg. 11080, effective July 1, 1993; recodified from the Department of Mines and Minerals to the Department of Natural R</w:t>
      </w:r>
      <w:r w:rsidR="00FA2969">
        <w:t xml:space="preserve">esources at 22 Ill. Reg. 7712. </w:t>
      </w:r>
    </w:p>
    <w:sectPr w:rsidR="003D7E0C" w:rsidSect="003D7E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E0C"/>
    <w:rsid w:val="002E1F72"/>
    <w:rsid w:val="003D7E0C"/>
    <w:rsid w:val="005C3366"/>
    <w:rsid w:val="00B52776"/>
    <w:rsid w:val="00FA2969"/>
    <w:rsid w:val="00F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Adopted at 4 Ill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Adopted at 4 Ill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