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CD" w:rsidRDefault="008C68CD" w:rsidP="008C68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68CD" w:rsidRDefault="008C68CD" w:rsidP="008C68CD">
      <w:pPr>
        <w:widowControl w:val="0"/>
        <w:autoSpaceDE w:val="0"/>
        <w:autoSpaceDN w:val="0"/>
        <w:adjustRightInd w:val="0"/>
        <w:jc w:val="center"/>
      </w:pPr>
      <w:r>
        <w:t>PART 5420</w:t>
      </w:r>
    </w:p>
    <w:p w:rsidR="008C68CD" w:rsidRDefault="008C68CD" w:rsidP="008C68CD">
      <w:pPr>
        <w:widowControl w:val="0"/>
        <w:autoSpaceDE w:val="0"/>
        <w:autoSpaceDN w:val="0"/>
        <w:adjustRightInd w:val="0"/>
        <w:jc w:val="center"/>
      </w:pPr>
      <w:r>
        <w:t>MANAGED CARE REFORM &amp; PATIENT RIGHTS</w:t>
      </w:r>
    </w:p>
    <w:sectPr w:rsidR="008C68CD" w:rsidSect="008C68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8CD"/>
    <w:rsid w:val="0014773A"/>
    <w:rsid w:val="00205AC7"/>
    <w:rsid w:val="00455D5A"/>
    <w:rsid w:val="005C3366"/>
    <w:rsid w:val="008C68CD"/>
    <w:rsid w:val="00F1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5420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5420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