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9C" w:rsidRDefault="0065329C" w:rsidP="00B13B0E">
      <w:bookmarkStart w:id="0" w:name="_GoBack"/>
      <w:bookmarkEnd w:id="0"/>
    </w:p>
    <w:p w:rsidR="00B13B0E" w:rsidRPr="0065329C" w:rsidRDefault="00B13B0E" w:rsidP="00B13B0E">
      <w:pPr>
        <w:rPr>
          <w:b/>
        </w:rPr>
      </w:pPr>
      <w:r w:rsidRPr="0065329C">
        <w:rPr>
          <w:b/>
        </w:rPr>
        <w:t>Section 4440.110  Incidental Benefit Rule</w:t>
      </w:r>
    </w:p>
    <w:p w:rsidR="0065329C" w:rsidRDefault="0065329C" w:rsidP="00B13B0E"/>
    <w:p w:rsidR="00B13B0E" w:rsidRPr="00B13B0E" w:rsidRDefault="0065329C" w:rsidP="0065329C">
      <w:pPr>
        <w:ind w:left="1440" w:hanging="720"/>
      </w:pPr>
      <w:r>
        <w:t>a)</w:t>
      </w:r>
      <w:r>
        <w:tab/>
      </w:r>
      <w:r w:rsidR="00B13B0E" w:rsidRPr="00B13B0E">
        <w:t>The amount of survivor benefits paid to a plan member's beneficiary may not exceed the maximum determined under the incidental death benefit requireme</w:t>
      </w:r>
      <w:r w:rsidR="00BB2409">
        <w:t>nt of the Internal Revenue Code</w:t>
      </w:r>
      <w:r w:rsidR="00B13B0E" w:rsidRPr="00B13B0E">
        <w:t>.</w:t>
      </w:r>
    </w:p>
    <w:p w:rsidR="0065329C" w:rsidRDefault="0065329C" w:rsidP="00B13B0E"/>
    <w:p w:rsidR="00B13B0E" w:rsidRPr="00B13B0E" w:rsidRDefault="0065329C" w:rsidP="0065329C">
      <w:pPr>
        <w:ind w:left="1440" w:hanging="720"/>
      </w:pPr>
      <w:r>
        <w:t>b)</w:t>
      </w:r>
      <w:r>
        <w:tab/>
      </w:r>
      <w:r w:rsidR="00B13B0E" w:rsidRPr="00B13B0E">
        <w:t xml:space="preserve">The death and disability benefits provided by a plan are limited by the incidental benefit rule set forth in </w:t>
      </w:r>
      <w:r w:rsidR="00BB2409">
        <w:t>IRC sec</w:t>
      </w:r>
      <w:r w:rsidR="00B13B0E" w:rsidRPr="00B13B0E">
        <w:t xml:space="preserve">tion 401(a)(9)(G) and 26 CFR 1.401-1(b)(1)(i).  </w:t>
      </w:r>
    </w:p>
    <w:sectPr w:rsidR="00B13B0E" w:rsidRPr="00B13B0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335" w:rsidRDefault="00C36335">
      <w:r>
        <w:separator/>
      </w:r>
    </w:p>
  </w:endnote>
  <w:endnote w:type="continuationSeparator" w:id="0">
    <w:p w:rsidR="00C36335" w:rsidRDefault="00C3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335" w:rsidRDefault="00C36335">
      <w:r>
        <w:separator/>
      </w:r>
    </w:p>
  </w:footnote>
  <w:footnote w:type="continuationSeparator" w:id="0">
    <w:p w:rsidR="00C36335" w:rsidRDefault="00C36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B0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714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6B89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00A0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29C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B0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409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3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464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B13B0E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B13B0E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B13B0E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B13B0E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B13B0E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B13B0E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B13B0E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B13B0E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B13B0E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B13B0E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B13B0E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B13B0E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B13B0E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B13B0E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B13B0E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B13B0E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