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70" w:rsidRDefault="00EA3070" w:rsidP="00EA307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A3070" w:rsidRDefault="00EA3070" w:rsidP="00EA3070">
      <w:pPr>
        <w:widowControl w:val="0"/>
        <w:autoSpaceDE w:val="0"/>
        <w:autoSpaceDN w:val="0"/>
        <w:adjustRightInd w:val="0"/>
        <w:ind w:left="1440" w:hanging="1440"/>
      </w:pPr>
      <w:r>
        <w:t>2525.10</w:t>
      </w:r>
      <w:r>
        <w:tab/>
        <w:t xml:space="preserve">Purpose </w:t>
      </w:r>
    </w:p>
    <w:p w:rsidR="00EA3070" w:rsidRDefault="00EA3070" w:rsidP="00EA3070">
      <w:pPr>
        <w:widowControl w:val="0"/>
        <w:autoSpaceDE w:val="0"/>
        <w:autoSpaceDN w:val="0"/>
        <w:adjustRightInd w:val="0"/>
        <w:ind w:left="1440" w:hanging="1440"/>
      </w:pPr>
      <w:r>
        <w:t>2525.20</w:t>
      </w:r>
      <w:r>
        <w:tab/>
        <w:t xml:space="preserve">Applicability </w:t>
      </w:r>
    </w:p>
    <w:p w:rsidR="00EA3070" w:rsidRDefault="00EA3070" w:rsidP="00EA3070">
      <w:pPr>
        <w:widowControl w:val="0"/>
        <w:autoSpaceDE w:val="0"/>
        <w:autoSpaceDN w:val="0"/>
        <w:adjustRightInd w:val="0"/>
        <w:ind w:left="1440" w:hanging="1440"/>
      </w:pPr>
      <w:r>
        <w:t>2525.30</w:t>
      </w:r>
      <w:r>
        <w:tab/>
        <w:t xml:space="preserve">Severability </w:t>
      </w:r>
    </w:p>
    <w:p w:rsidR="00EA3070" w:rsidRDefault="00EA3070" w:rsidP="00EA3070">
      <w:pPr>
        <w:widowControl w:val="0"/>
        <w:autoSpaceDE w:val="0"/>
        <w:autoSpaceDN w:val="0"/>
        <w:adjustRightInd w:val="0"/>
        <w:ind w:left="1440" w:hanging="1440"/>
      </w:pPr>
      <w:r>
        <w:t>2525.40</w:t>
      </w:r>
      <w:r>
        <w:tab/>
        <w:t xml:space="preserve">Definitions </w:t>
      </w:r>
    </w:p>
    <w:p w:rsidR="00EA3070" w:rsidRDefault="00EA3070" w:rsidP="00EA3070">
      <w:pPr>
        <w:widowControl w:val="0"/>
        <w:autoSpaceDE w:val="0"/>
        <w:autoSpaceDN w:val="0"/>
        <w:adjustRightInd w:val="0"/>
        <w:ind w:left="1440" w:hanging="1440"/>
      </w:pPr>
      <w:r>
        <w:t>2525.45</w:t>
      </w:r>
      <w:r>
        <w:tab/>
        <w:t xml:space="preserve">Calculation of the 6-Year Period Limitation </w:t>
      </w:r>
    </w:p>
    <w:p w:rsidR="00EA3070" w:rsidRDefault="00EA3070" w:rsidP="00EA3070">
      <w:pPr>
        <w:widowControl w:val="0"/>
        <w:autoSpaceDE w:val="0"/>
        <w:autoSpaceDN w:val="0"/>
        <w:adjustRightInd w:val="0"/>
        <w:ind w:left="1440" w:hanging="1440"/>
      </w:pPr>
      <w:r>
        <w:t>2525.50</w:t>
      </w:r>
      <w:r>
        <w:tab/>
        <w:t xml:space="preserve">Overpayments Concerning the Annual Privilege and Retaliatory Taxes </w:t>
      </w:r>
    </w:p>
    <w:p w:rsidR="00EA3070" w:rsidRDefault="00EA3070" w:rsidP="00EA3070">
      <w:pPr>
        <w:widowControl w:val="0"/>
        <w:autoSpaceDE w:val="0"/>
        <w:autoSpaceDN w:val="0"/>
        <w:adjustRightInd w:val="0"/>
        <w:ind w:left="1440" w:hanging="1440"/>
      </w:pPr>
      <w:r>
        <w:t>2525.60</w:t>
      </w:r>
      <w:r>
        <w:tab/>
        <w:t xml:space="preserve">Overpayments for All Other Fees, Charges or Taxes </w:t>
      </w:r>
    </w:p>
    <w:p w:rsidR="00EA3070" w:rsidRDefault="00EA3070" w:rsidP="00EA3070">
      <w:pPr>
        <w:widowControl w:val="0"/>
        <w:autoSpaceDE w:val="0"/>
        <w:autoSpaceDN w:val="0"/>
        <w:adjustRightInd w:val="0"/>
        <w:ind w:left="1440" w:hanging="1440"/>
      </w:pPr>
      <w:r>
        <w:t>2525.70</w:t>
      </w:r>
      <w:r>
        <w:tab/>
        <w:t xml:space="preserve">Amended Returns </w:t>
      </w:r>
    </w:p>
    <w:p w:rsidR="00EA3070" w:rsidRDefault="00EA3070" w:rsidP="00EA3070">
      <w:pPr>
        <w:widowControl w:val="0"/>
        <w:autoSpaceDE w:val="0"/>
        <w:autoSpaceDN w:val="0"/>
        <w:adjustRightInd w:val="0"/>
        <w:ind w:left="1440" w:hanging="1440"/>
      </w:pPr>
      <w:r>
        <w:t>2525.80</w:t>
      </w:r>
      <w:r>
        <w:tab/>
        <w:t xml:space="preserve">Cash Refund of Taxes Assessed Pursuant to Sections 409, 444 and 444.1 of the Code </w:t>
      </w:r>
    </w:p>
    <w:p w:rsidR="00EA3070" w:rsidRDefault="00EA3070" w:rsidP="00EA3070">
      <w:pPr>
        <w:widowControl w:val="0"/>
        <w:autoSpaceDE w:val="0"/>
        <w:autoSpaceDN w:val="0"/>
        <w:adjustRightInd w:val="0"/>
        <w:ind w:left="1440" w:hanging="1440"/>
      </w:pPr>
      <w:r>
        <w:t>2525.85</w:t>
      </w:r>
      <w:r>
        <w:tab/>
        <w:t xml:space="preserve">Cash Refund of Other Fees, Taxes and Charges </w:t>
      </w:r>
    </w:p>
    <w:p w:rsidR="00EA3070" w:rsidRDefault="00EA3070" w:rsidP="00EA3070">
      <w:pPr>
        <w:widowControl w:val="0"/>
        <w:autoSpaceDE w:val="0"/>
        <w:autoSpaceDN w:val="0"/>
        <w:adjustRightInd w:val="0"/>
        <w:ind w:left="1440" w:hanging="1440"/>
      </w:pPr>
      <w:r>
        <w:t>2525.90</w:t>
      </w:r>
      <w:r>
        <w:tab/>
        <w:t xml:space="preserve">Transfer of Overpayments </w:t>
      </w:r>
    </w:p>
    <w:p w:rsidR="00EA3070" w:rsidRDefault="00EA3070" w:rsidP="00EA3070">
      <w:pPr>
        <w:widowControl w:val="0"/>
        <w:autoSpaceDE w:val="0"/>
        <w:autoSpaceDN w:val="0"/>
        <w:adjustRightInd w:val="0"/>
        <w:ind w:left="1440" w:hanging="1440"/>
      </w:pPr>
      <w:r>
        <w:t>2525.100</w:t>
      </w:r>
      <w:r>
        <w:tab/>
        <w:t xml:space="preserve">Penalty Assessment </w:t>
      </w:r>
    </w:p>
    <w:p w:rsidR="00EA3070" w:rsidRDefault="00EA3070" w:rsidP="00EA3070">
      <w:pPr>
        <w:widowControl w:val="0"/>
        <w:autoSpaceDE w:val="0"/>
        <w:autoSpaceDN w:val="0"/>
        <w:adjustRightInd w:val="0"/>
        <w:ind w:left="1440" w:hanging="1440"/>
      </w:pPr>
      <w:r>
        <w:t>2525.110</w:t>
      </w:r>
      <w:r>
        <w:tab/>
        <w:t xml:space="preserve">Hearings </w:t>
      </w:r>
    </w:p>
    <w:p w:rsidR="00EA3070" w:rsidRDefault="00A31D7C" w:rsidP="00A31D7C">
      <w:pPr>
        <w:widowControl w:val="0"/>
        <w:autoSpaceDE w:val="0"/>
        <w:autoSpaceDN w:val="0"/>
        <w:adjustRightInd w:val="0"/>
        <w:ind w:left="3591" w:hanging="3591"/>
      </w:pPr>
      <w:r>
        <w:t>2525.</w:t>
      </w:r>
      <w:r w:rsidR="00EA3070">
        <w:t>ILLUSTRATION A</w:t>
      </w:r>
      <w:r w:rsidR="00EA3070">
        <w:tab/>
        <w:t xml:space="preserve">Notice to Transfer a Privilege or Retaliatory Tax Overpayment </w:t>
      </w:r>
    </w:p>
    <w:p w:rsidR="00EA3070" w:rsidRDefault="00A31D7C" w:rsidP="00A31D7C">
      <w:pPr>
        <w:widowControl w:val="0"/>
        <w:autoSpaceDE w:val="0"/>
        <w:autoSpaceDN w:val="0"/>
        <w:adjustRightInd w:val="0"/>
        <w:ind w:left="3591" w:hanging="3591"/>
      </w:pPr>
      <w:r>
        <w:t>2525.</w:t>
      </w:r>
      <w:r w:rsidR="00EA3070">
        <w:t>ILLUSTRATION B</w:t>
      </w:r>
      <w:r w:rsidR="00EA3070">
        <w:tab/>
        <w:t xml:space="preserve">Notice to Transfer a Surplus Lines Tax Overpayment </w:t>
      </w:r>
    </w:p>
    <w:p w:rsidR="00EA3070" w:rsidRDefault="00A31D7C" w:rsidP="00A31D7C">
      <w:pPr>
        <w:widowControl w:val="0"/>
        <w:autoSpaceDE w:val="0"/>
        <w:autoSpaceDN w:val="0"/>
        <w:adjustRightInd w:val="0"/>
        <w:ind w:left="3591" w:hanging="3591"/>
      </w:pPr>
      <w:r>
        <w:t>2525.</w:t>
      </w:r>
      <w:r w:rsidR="00EA3070">
        <w:t>ILLUSTRATION C</w:t>
      </w:r>
      <w:r w:rsidR="00EA3070">
        <w:tab/>
        <w:t xml:space="preserve">Notice to Transfer a State Fire Marshal Tax Overpayment </w:t>
      </w:r>
    </w:p>
    <w:sectPr w:rsidR="00EA3070" w:rsidSect="00EA30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3070"/>
    <w:rsid w:val="001C4242"/>
    <w:rsid w:val="00441339"/>
    <w:rsid w:val="009347BA"/>
    <w:rsid w:val="00A31D7C"/>
    <w:rsid w:val="00EA307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