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A1" w:rsidRDefault="00F95DA1" w:rsidP="00F95D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5DA1" w:rsidRDefault="00F95DA1" w:rsidP="00F95DA1">
      <w:pPr>
        <w:widowControl w:val="0"/>
        <w:autoSpaceDE w:val="0"/>
        <w:autoSpaceDN w:val="0"/>
        <w:adjustRightInd w:val="0"/>
      </w:pPr>
      <w:r>
        <w:t>SOURCE:  Adopted at 4 Ill. Reg. 25, p. 202, effective June 13, 19</w:t>
      </w:r>
      <w:r w:rsidR="00CB6AA0">
        <w:t>80; codified at 7 Ill. Reg. 4213</w:t>
      </w:r>
      <w:r>
        <w:t xml:space="preserve">; amended at 14 Ill. Reg. 16920, effective October 2, 1990. </w:t>
      </w:r>
      <w:r>
        <w:tab/>
      </w:r>
    </w:p>
    <w:sectPr w:rsidR="00F95DA1" w:rsidSect="00F95D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DA1"/>
    <w:rsid w:val="00325665"/>
    <w:rsid w:val="005C3366"/>
    <w:rsid w:val="005D0125"/>
    <w:rsid w:val="00727C76"/>
    <w:rsid w:val="00CB6AA0"/>
    <w:rsid w:val="00F9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