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249" w:rsidRDefault="000A7249" w:rsidP="000A72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7249" w:rsidRDefault="000A7249" w:rsidP="000A7249">
      <w:pPr>
        <w:widowControl w:val="0"/>
        <w:autoSpaceDE w:val="0"/>
        <w:autoSpaceDN w:val="0"/>
        <w:adjustRightInd w:val="0"/>
      </w:pPr>
      <w:r>
        <w:t>SOURCE:  Filed September 27, 1971, effective October 1, 1971; codified at 6 Ill. Reg. 12454; amended at 13 Ill. Reg. 14048,</w:t>
      </w:r>
      <w:r w:rsidR="00044EEF">
        <w:t xml:space="preserve"> effective September 11, 1989. </w:t>
      </w:r>
    </w:p>
    <w:sectPr w:rsidR="000A7249" w:rsidSect="000A72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7249"/>
    <w:rsid w:val="00044EEF"/>
    <w:rsid w:val="000A7249"/>
    <w:rsid w:val="0037294F"/>
    <w:rsid w:val="005C3366"/>
    <w:rsid w:val="00DF0076"/>
    <w:rsid w:val="00F9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September 27, 1971, effective October 1, 1971; codified at 6 Ill</vt:lpstr>
    </vt:vector>
  </TitlesOfParts>
  <Company>State of Illinois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September 27, 1971, effective October 1, 1971; codified at 6 Ill</dc:title>
  <dc:subject/>
  <dc:creator>Illinois General Assembly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