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5BD" w:rsidRDefault="00E155BD" w:rsidP="00E155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55BD" w:rsidRDefault="00E155BD" w:rsidP="00E155BD">
      <w:pPr>
        <w:widowControl w:val="0"/>
        <w:autoSpaceDE w:val="0"/>
        <w:autoSpaceDN w:val="0"/>
        <w:adjustRightInd w:val="0"/>
      </w:pPr>
      <w:r>
        <w:t xml:space="preserve">SOURCE:  </w:t>
      </w:r>
      <w:r w:rsidR="008B38F1">
        <w:t>Recodified to the Illinois Finance Authority (74 Ill. Adm. Code 1100) at 31 Ill. Reg. 12104.</w:t>
      </w:r>
    </w:p>
    <w:sectPr w:rsidR="00E155BD" w:rsidSect="00E155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55BD"/>
    <w:rsid w:val="00097E19"/>
    <w:rsid w:val="003B05F8"/>
    <w:rsid w:val="005C3366"/>
    <w:rsid w:val="008B38F1"/>
    <w:rsid w:val="00911A42"/>
    <w:rsid w:val="00E1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14 Ill</vt:lpstr>
    </vt:vector>
  </TitlesOfParts>
  <Company>State of Illinois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14 Ill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