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3B" w:rsidRDefault="00966A3B" w:rsidP="00966A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A3B" w:rsidRDefault="00966A3B" w:rsidP="00966A3B">
      <w:pPr>
        <w:widowControl w:val="0"/>
        <w:autoSpaceDE w:val="0"/>
        <w:autoSpaceDN w:val="0"/>
        <w:adjustRightInd w:val="0"/>
      </w:pPr>
      <w:r>
        <w:t xml:space="preserve">SOURCE:  New Part adopted by emergency rule at 21 Ill. Reg. 5369, effective April 11, 1997, for a maximum of 150 days; adopted at 21 Ill. Reg. 13346, effective September 17, 1997; amended at 23 Ill. Reg. 3952, effective March 22, 1999. </w:t>
      </w:r>
    </w:p>
    <w:sectPr w:rsidR="00966A3B" w:rsidSect="00966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A3B"/>
    <w:rsid w:val="00094B37"/>
    <w:rsid w:val="00304826"/>
    <w:rsid w:val="005C3366"/>
    <w:rsid w:val="005E3934"/>
    <w:rsid w:val="00966A3B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New Part adopted by emergency rule at 21 Ill</vt:lpstr>
    </vt:vector>
  </TitlesOfParts>
  <Company>General Assembly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New Part adopted by emergency rule at 21 Ill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