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929" w:rsidRDefault="00504929" w:rsidP="0050492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4929" w:rsidRDefault="00504929" w:rsidP="00504929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610.210  Scope</w:t>
      </w:r>
      <w:r>
        <w:t xml:space="preserve"> </w:t>
      </w:r>
    </w:p>
    <w:p w:rsidR="00504929" w:rsidRDefault="00504929" w:rsidP="00504929">
      <w:pPr>
        <w:widowControl w:val="0"/>
        <w:autoSpaceDE w:val="0"/>
        <w:autoSpaceDN w:val="0"/>
        <w:adjustRightInd w:val="0"/>
      </w:pPr>
    </w:p>
    <w:p w:rsidR="00504929" w:rsidRDefault="00504929" w:rsidP="00504929">
      <w:pPr>
        <w:widowControl w:val="0"/>
        <w:autoSpaceDE w:val="0"/>
        <w:autoSpaceDN w:val="0"/>
        <w:adjustRightInd w:val="0"/>
      </w:pPr>
      <w:r>
        <w:t xml:space="preserve">A Standard PRF Project may include one or more particular wells to be plugged and sites to be restored; a single leasehold on which all wells are to be plugged, well sites to be restored and lease site to be restored; or several lease sites on which all wells are to be plugged, well and lease sites to be restored. </w:t>
      </w:r>
    </w:p>
    <w:p w:rsidR="00504929" w:rsidRDefault="00504929" w:rsidP="00504929">
      <w:pPr>
        <w:widowControl w:val="0"/>
        <w:autoSpaceDE w:val="0"/>
        <w:autoSpaceDN w:val="0"/>
        <w:adjustRightInd w:val="0"/>
      </w:pPr>
    </w:p>
    <w:p w:rsidR="00504929" w:rsidRDefault="00504929" w:rsidP="0050492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3421, effective March 8, 1999) </w:t>
      </w:r>
    </w:p>
    <w:sectPr w:rsidR="00504929" w:rsidSect="005049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4929"/>
    <w:rsid w:val="001B428B"/>
    <w:rsid w:val="00504929"/>
    <w:rsid w:val="005C3366"/>
    <w:rsid w:val="0074106E"/>
    <w:rsid w:val="00E7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610</vt:lpstr>
    </vt:vector>
  </TitlesOfParts>
  <Company>State of Illinois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610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