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9BB" w:rsidRDefault="008969BB" w:rsidP="008969BB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8969BB" w:rsidRDefault="008969BB" w:rsidP="008969B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Section 500.260  Retention of Bulletin Information</w:t>
      </w:r>
    </w:p>
    <w:p w:rsidR="008969BB" w:rsidRDefault="008969BB" w:rsidP="008969BB">
      <w:pPr>
        <w:widowControl w:val="0"/>
        <w:autoSpaceDE w:val="0"/>
        <w:autoSpaceDN w:val="0"/>
        <w:adjustRightInd w:val="0"/>
      </w:pPr>
    </w:p>
    <w:p w:rsidR="008969BB" w:rsidRPr="00834372" w:rsidRDefault="008969BB" w:rsidP="008969BB">
      <w:pPr>
        <w:widowControl w:val="0"/>
        <w:autoSpaceDE w:val="0"/>
        <w:autoSpaceDN w:val="0"/>
        <w:adjustRightInd w:val="0"/>
      </w:pPr>
      <w:r>
        <w:t>Information published in the Auditor General Bulletin shall be retained in electronic or paper form for a period of one year after first publication.</w:t>
      </w:r>
    </w:p>
    <w:p w:rsidR="001C71C2" w:rsidRDefault="001C71C2" w:rsidP="00573770"/>
    <w:p w:rsidR="008969BB" w:rsidRPr="00D55B37" w:rsidRDefault="008969BB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D1704C">
        <w:t>5307</w:t>
      </w:r>
      <w:r w:rsidRPr="00D55B37">
        <w:t xml:space="preserve">, effective </w:t>
      </w:r>
      <w:r w:rsidR="00D1704C">
        <w:t>April 1, 2011</w:t>
      </w:r>
      <w:r w:rsidRPr="00D55B37">
        <w:t>)</w:t>
      </w:r>
    </w:p>
    <w:sectPr w:rsidR="008969B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B14" w:rsidRDefault="00144B14">
      <w:r>
        <w:separator/>
      </w:r>
    </w:p>
  </w:endnote>
  <w:endnote w:type="continuationSeparator" w:id="0">
    <w:p w:rsidR="00144B14" w:rsidRDefault="0014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B14" w:rsidRDefault="00144B14">
      <w:r>
        <w:separator/>
      </w:r>
    </w:p>
  </w:footnote>
  <w:footnote w:type="continuationSeparator" w:id="0">
    <w:p w:rsidR="00144B14" w:rsidRDefault="00144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4BA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4B14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2709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D1C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9BB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219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64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04C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4BA9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69B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69B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