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9E" w:rsidRDefault="00407D9E" w:rsidP="00407D9E">
      <w:pPr>
        <w:widowControl w:val="0"/>
        <w:autoSpaceDE w:val="0"/>
        <w:autoSpaceDN w:val="0"/>
        <w:adjustRightInd w:val="0"/>
      </w:pPr>
      <w:bookmarkStart w:id="0" w:name="_GoBack"/>
      <w:bookmarkEnd w:id="0"/>
    </w:p>
    <w:p w:rsidR="00407D9E" w:rsidRDefault="00407D9E" w:rsidP="00407D9E">
      <w:pPr>
        <w:widowControl w:val="0"/>
        <w:autoSpaceDE w:val="0"/>
        <w:autoSpaceDN w:val="0"/>
        <w:adjustRightInd w:val="0"/>
      </w:pPr>
      <w:r>
        <w:rPr>
          <w:b/>
          <w:bCs/>
        </w:rPr>
        <w:t>Section 180.200  Oil Burning Equipment</w:t>
      </w:r>
      <w:r>
        <w:t xml:space="preserve"> </w:t>
      </w:r>
    </w:p>
    <w:p w:rsidR="00407D9E" w:rsidRDefault="00407D9E" w:rsidP="00407D9E">
      <w:pPr>
        <w:widowControl w:val="0"/>
        <w:autoSpaceDE w:val="0"/>
        <w:autoSpaceDN w:val="0"/>
        <w:adjustRightInd w:val="0"/>
      </w:pPr>
    </w:p>
    <w:p w:rsidR="00407D9E" w:rsidRDefault="00407D9E" w:rsidP="00407D9E">
      <w:pPr>
        <w:widowControl w:val="0"/>
        <w:autoSpaceDE w:val="0"/>
        <w:autoSpaceDN w:val="0"/>
        <w:adjustRightInd w:val="0"/>
      </w:pPr>
      <w:r>
        <w:t xml:space="preserve">The rules and regulations governing Oil Burning Equipment shall conform to, and be in accordance with, the Standards for the Installation of Oil Burning Equipment, published in NFPA Standard No. 31, May 1957, by the National Fire Protection Association. </w:t>
      </w:r>
    </w:p>
    <w:sectPr w:rsidR="00407D9E" w:rsidSect="00407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D9E"/>
    <w:rsid w:val="0030735A"/>
    <w:rsid w:val="00407D9E"/>
    <w:rsid w:val="005C3366"/>
    <w:rsid w:val="006B1BD5"/>
    <w:rsid w:val="00F9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