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A4" w:rsidRDefault="006410A4" w:rsidP="006410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0A4" w:rsidRDefault="006410A4" w:rsidP="006410A4">
      <w:pPr>
        <w:widowControl w:val="0"/>
        <w:autoSpaceDE w:val="0"/>
        <w:autoSpaceDN w:val="0"/>
        <w:adjustRightInd w:val="0"/>
      </w:pPr>
      <w:r>
        <w:t xml:space="preserve">AUTHORITY:  Implementing and authorized by the Drycleaner Environmental Response Trust Fund Act [415 ILCS 135/20]. </w:t>
      </w:r>
    </w:p>
    <w:sectPr w:rsidR="006410A4" w:rsidSect="006410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0A4"/>
    <w:rsid w:val="0028786F"/>
    <w:rsid w:val="005C3366"/>
    <w:rsid w:val="006410A4"/>
    <w:rsid w:val="00844703"/>
    <w:rsid w:val="00A106D1"/>
    <w:rsid w:val="00A7533A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Drycleaner Environmental Response Trust Fund Act [415 ILCS 135/20(a)]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Drycleaner Environmental Response Trust Fund Act [415 ILCS 135/20(a)]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