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F15" w:rsidRDefault="00C95F15" w:rsidP="00C95F15">
      <w:pPr>
        <w:widowControl w:val="0"/>
        <w:autoSpaceDE w:val="0"/>
        <w:autoSpaceDN w:val="0"/>
        <w:adjustRightInd w:val="0"/>
      </w:pPr>
      <w:bookmarkStart w:id="0" w:name="_GoBack"/>
      <w:bookmarkEnd w:id="0"/>
    </w:p>
    <w:p w:rsidR="00C95F15" w:rsidRDefault="00C95F15" w:rsidP="00C95F15">
      <w:pPr>
        <w:widowControl w:val="0"/>
        <w:autoSpaceDE w:val="0"/>
        <w:autoSpaceDN w:val="0"/>
        <w:adjustRightInd w:val="0"/>
      </w:pPr>
      <w:r>
        <w:rPr>
          <w:b/>
          <w:bCs/>
        </w:rPr>
        <w:t>Section 855.209  Measurement and Conversion</w:t>
      </w:r>
      <w:r>
        <w:t xml:space="preserve"> </w:t>
      </w:r>
    </w:p>
    <w:p w:rsidR="00C95F15" w:rsidRDefault="00C95F15" w:rsidP="00C95F15">
      <w:pPr>
        <w:widowControl w:val="0"/>
        <w:autoSpaceDE w:val="0"/>
        <w:autoSpaceDN w:val="0"/>
        <w:adjustRightInd w:val="0"/>
      </w:pPr>
    </w:p>
    <w:p w:rsidR="00C95F15" w:rsidRDefault="00C95F15" w:rsidP="00C95F15">
      <w:pPr>
        <w:widowControl w:val="0"/>
        <w:autoSpaceDE w:val="0"/>
        <w:autoSpaceDN w:val="0"/>
        <w:adjustRightInd w:val="0"/>
      </w:pPr>
      <w:r>
        <w:t xml:space="preserve">The hazardous waste fee is levied in terms of cubic yards and gallons. However, hazardous waste is sometimes measured in other units.  The site operator is responsible for accurately converting any waste stream into cubic yards or gallons. </w:t>
      </w:r>
    </w:p>
    <w:sectPr w:rsidR="00C95F15" w:rsidSect="00C95F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5F15"/>
    <w:rsid w:val="00157A64"/>
    <w:rsid w:val="001F5B7C"/>
    <w:rsid w:val="005C3366"/>
    <w:rsid w:val="00B46C52"/>
    <w:rsid w:val="00C9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