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D1" w:rsidRDefault="00B941D1" w:rsidP="00B941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1D1" w:rsidRDefault="00B941D1" w:rsidP="00B941D1">
      <w:pPr>
        <w:widowControl w:val="0"/>
        <w:autoSpaceDE w:val="0"/>
        <w:autoSpaceDN w:val="0"/>
        <w:adjustRightInd w:val="0"/>
      </w:pPr>
      <w:r>
        <w:t>SOURCE:  Filed with the Secretary of State December 20, 1977, effective December 20, 1977; codified at 6 Ill. Reg. 13019, effective October 12, 1982; amended at 21 Ill. Reg. 124</w:t>
      </w:r>
      <w:r w:rsidR="00FD0327">
        <w:t xml:space="preserve">39, effective August 28, 1997. </w:t>
      </w:r>
    </w:p>
    <w:sectPr w:rsidR="00B941D1" w:rsidSect="00B94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1D1"/>
    <w:rsid w:val="005C3366"/>
    <w:rsid w:val="00960490"/>
    <w:rsid w:val="00B941D1"/>
    <w:rsid w:val="00C164C0"/>
    <w:rsid w:val="00F24393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December 20, 1977, effective December 20, 1977; codified at 6 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December 20, 1977, effective December 20,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