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A0" w:rsidRDefault="00E46CA0" w:rsidP="00E46CA0">
      <w:pPr>
        <w:widowControl w:val="0"/>
        <w:autoSpaceDE w:val="0"/>
        <w:autoSpaceDN w:val="0"/>
        <w:adjustRightInd w:val="0"/>
      </w:pPr>
      <w:bookmarkStart w:id="0" w:name="_GoBack"/>
      <w:bookmarkEnd w:id="0"/>
    </w:p>
    <w:p w:rsidR="00E46CA0" w:rsidRDefault="00E46CA0" w:rsidP="00E46CA0">
      <w:pPr>
        <w:widowControl w:val="0"/>
        <w:autoSpaceDE w:val="0"/>
        <w:autoSpaceDN w:val="0"/>
        <w:adjustRightInd w:val="0"/>
      </w:pPr>
      <w:r>
        <w:rPr>
          <w:b/>
          <w:bCs/>
        </w:rPr>
        <w:t>Section 355.209  Calculation of Preliminary Effluent Limitation</w:t>
      </w:r>
      <w:r>
        <w:t xml:space="preserve"> </w:t>
      </w:r>
    </w:p>
    <w:p w:rsidR="00E46CA0" w:rsidRDefault="00E46CA0" w:rsidP="00E46CA0">
      <w:pPr>
        <w:widowControl w:val="0"/>
        <w:autoSpaceDE w:val="0"/>
        <w:autoSpaceDN w:val="0"/>
        <w:adjustRightInd w:val="0"/>
      </w:pPr>
    </w:p>
    <w:p w:rsidR="00E46CA0" w:rsidRDefault="00E46CA0" w:rsidP="00E46CA0">
      <w:pPr>
        <w:widowControl w:val="0"/>
        <w:autoSpaceDE w:val="0"/>
        <w:autoSpaceDN w:val="0"/>
        <w:adjustRightInd w:val="0"/>
        <w:ind w:left="1440" w:hanging="720"/>
      </w:pPr>
      <w:r>
        <w:t>a)</w:t>
      </w:r>
      <w:r>
        <w:tab/>
        <w:t xml:space="preserve">The preliminary effluent limitation (PEL) is calculated in a mass balance approach reflecting allowed dilution as referenced in Section 355.207: </w:t>
      </w:r>
    </w:p>
    <w:p w:rsidR="00E46CA0" w:rsidRDefault="00E46CA0" w:rsidP="00E46CA0">
      <w:pPr>
        <w:widowControl w:val="0"/>
        <w:autoSpaceDE w:val="0"/>
        <w:autoSpaceDN w:val="0"/>
        <w:adjustRightInd w:val="0"/>
        <w:ind w:left="1440" w:hanging="720"/>
      </w:pPr>
    </w:p>
    <w:p w:rsidR="00E46CA0" w:rsidRDefault="00E46CA0" w:rsidP="002539BA">
      <w:pPr>
        <w:widowControl w:val="0"/>
        <w:autoSpaceDE w:val="0"/>
        <w:autoSpaceDN w:val="0"/>
        <w:adjustRightInd w:val="0"/>
        <w:ind w:left="1440"/>
      </w:pPr>
      <w:r>
        <w:t>WQS = [(</w:t>
      </w:r>
      <w:proofErr w:type="spellStart"/>
      <w:r>
        <w:t>Q</w:t>
      </w:r>
      <w:r w:rsidRPr="002539BA">
        <w:rPr>
          <w:vertAlign w:val="subscript"/>
        </w:rPr>
        <w:t>e</w:t>
      </w:r>
      <w:proofErr w:type="spellEnd"/>
      <w:r>
        <w:t>)(PEL) +</w:t>
      </w:r>
      <w:r w:rsidR="002539BA">
        <w:t xml:space="preserve"> </w:t>
      </w:r>
      <w:r>
        <w:t>(</w:t>
      </w:r>
      <w:proofErr w:type="spellStart"/>
      <w:r>
        <w:t>Q</w:t>
      </w:r>
      <w:r w:rsidRPr="002539BA">
        <w:rPr>
          <w:vertAlign w:val="subscript"/>
        </w:rPr>
        <w:t>d</w:t>
      </w:r>
      <w:proofErr w:type="spellEnd"/>
      <w:r>
        <w:t>)(C</w:t>
      </w:r>
      <w:r w:rsidRPr="00235075">
        <w:rPr>
          <w:vertAlign w:val="subscript"/>
        </w:rPr>
        <w:t>d</w:t>
      </w:r>
      <w:r>
        <w:t>)]/(</w:t>
      </w:r>
      <w:proofErr w:type="spellStart"/>
      <w:r>
        <w:t>Q</w:t>
      </w:r>
      <w:r w:rsidRPr="002539BA">
        <w:rPr>
          <w:vertAlign w:val="subscript"/>
        </w:rPr>
        <w:t>e</w:t>
      </w:r>
      <w:proofErr w:type="spellEnd"/>
      <w:r>
        <w:t xml:space="preserve"> +</w:t>
      </w:r>
      <w:r w:rsidR="002539BA">
        <w:t xml:space="preserve"> </w:t>
      </w:r>
      <w:proofErr w:type="spellStart"/>
      <w:r>
        <w:t>Q</w:t>
      </w:r>
      <w:r w:rsidRPr="002539BA">
        <w:rPr>
          <w:vertAlign w:val="subscript"/>
        </w:rPr>
        <w:t>d</w:t>
      </w:r>
      <w:proofErr w:type="spellEnd"/>
      <w:r>
        <w:t xml:space="preserve">) </w:t>
      </w:r>
    </w:p>
    <w:p w:rsidR="00E46CA0" w:rsidRDefault="00E46CA0" w:rsidP="00E46CA0">
      <w:pPr>
        <w:widowControl w:val="0"/>
        <w:autoSpaceDE w:val="0"/>
        <w:autoSpaceDN w:val="0"/>
        <w:adjustRightInd w:val="0"/>
        <w:ind w:left="1440" w:hanging="720"/>
      </w:pPr>
    </w:p>
    <w:p w:rsidR="00E46CA0" w:rsidRDefault="00E46CA0" w:rsidP="002539BA">
      <w:pPr>
        <w:widowControl w:val="0"/>
        <w:autoSpaceDE w:val="0"/>
        <w:autoSpaceDN w:val="0"/>
        <w:adjustRightInd w:val="0"/>
        <w:ind w:left="1440"/>
      </w:pPr>
      <w:r>
        <w:t xml:space="preserve">or </w:t>
      </w:r>
    </w:p>
    <w:p w:rsidR="00E46CA0" w:rsidRDefault="00E46CA0" w:rsidP="00E46CA0">
      <w:pPr>
        <w:widowControl w:val="0"/>
        <w:autoSpaceDE w:val="0"/>
        <w:autoSpaceDN w:val="0"/>
        <w:adjustRightInd w:val="0"/>
        <w:ind w:left="1440" w:hanging="720"/>
      </w:pPr>
    </w:p>
    <w:p w:rsidR="00E46CA0" w:rsidRDefault="00E46CA0" w:rsidP="002539BA">
      <w:pPr>
        <w:widowControl w:val="0"/>
        <w:autoSpaceDE w:val="0"/>
        <w:autoSpaceDN w:val="0"/>
        <w:adjustRightInd w:val="0"/>
        <w:ind w:left="1440"/>
      </w:pPr>
      <w:r>
        <w:t>PEL = [WQS(</w:t>
      </w:r>
      <w:proofErr w:type="spellStart"/>
      <w:r>
        <w:t>Q</w:t>
      </w:r>
      <w:r w:rsidRPr="002539BA">
        <w:rPr>
          <w:vertAlign w:val="subscript"/>
        </w:rPr>
        <w:t>e</w:t>
      </w:r>
      <w:proofErr w:type="spellEnd"/>
      <w:r>
        <w:t xml:space="preserve"> +</w:t>
      </w:r>
      <w:r w:rsidR="002539BA">
        <w:t xml:space="preserve"> </w:t>
      </w:r>
      <w:proofErr w:type="spellStart"/>
      <w:r>
        <w:t>Q</w:t>
      </w:r>
      <w:r w:rsidRPr="002539BA">
        <w:rPr>
          <w:vertAlign w:val="subscript"/>
        </w:rPr>
        <w:t>d</w:t>
      </w:r>
      <w:proofErr w:type="spellEnd"/>
      <w:r>
        <w:t xml:space="preserve">) </w:t>
      </w:r>
      <w:r w:rsidR="00235075">
        <w:t>-</w:t>
      </w:r>
      <w:r>
        <w:t xml:space="preserve"> (</w:t>
      </w:r>
      <w:proofErr w:type="spellStart"/>
      <w:r>
        <w:t>Q</w:t>
      </w:r>
      <w:r w:rsidRPr="002539BA">
        <w:rPr>
          <w:vertAlign w:val="subscript"/>
        </w:rPr>
        <w:t>d</w:t>
      </w:r>
      <w:proofErr w:type="spellEnd"/>
      <w:r>
        <w:t>)(C</w:t>
      </w:r>
      <w:r w:rsidRPr="002539BA">
        <w:rPr>
          <w:vertAlign w:val="subscript"/>
        </w:rPr>
        <w:t>d</w:t>
      </w:r>
      <w:r>
        <w:t>)]/</w:t>
      </w:r>
      <w:proofErr w:type="spellStart"/>
      <w:r>
        <w:t>Q</w:t>
      </w:r>
      <w:r w:rsidRPr="002539BA">
        <w:rPr>
          <w:vertAlign w:val="subscript"/>
        </w:rPr>
        <w:t>e</w:t>
      </w:r>
      <w:proofErr w:type="spellEnd"/>
      <w:r>
        <w:t xml:space="preserve"> </w:t>
      </w:r>
    </w:p>
    <w:p w:rsidR="00E46CA0" w:rsidRDefault="00E46CA0" w:rsidP="00E46CA0">
      <w:pPr>
        <w:widowControl w:val="0"/>
        <w:autoSpaceDE w:val="0"/>
        <w:autoSpaceDN w:val="0"/>
        <w:adjustRightInd w:val="0"/>
        <w:ind w:left="1440" w:hanging="720"/>
      </w:pPr>
    </w:p>
    <w:p w:rsidR="00E46CA0" w:rsidRDefault="00E46CA0" w:rsidP="002539BA">
      <w:pPr>
        <w:widowControl w:val="0"/>
        <w:autoSpaceDE w:val="0"/>
        <w:autoSpaceDN w:val="0"/>
        <w:adjustRightInd w:val="0"/>
        <w:ind w:left="1440"/>
      </w:pPr>
      <w:r>
        <w:t xml:space="preserve">where: </w:t>
      </w:r>
    </w:p>
    <w:p w:rsidR="00E46CA0" w:rsidRDefault="00E46CA0" w:rsidP="00E46CA0">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940"/>
        <w:gridCol w:w="485"/>
        <w:gridCol w:w="6732"/>
      </w:tblGrid>
      <w:tr w:rsidR="00B8777D" w:rsidRPr="00235075">
        <w:tblPrEx>
          <w:tblCellMar>
            <w:top w:w="0" w:type="dxa"/>
            <w:bottom w:w="0" w:type="dxa"/>
          </w:tblCellMar>
        </w:tblPrEx>
        <w:tc>
          <w:tcPr>
            <w:tcW w:w="940" w:type="dxa"/>
          </w:tcPr>
          <w:p w:rsidR="00B8777D" w:rsidRPr="00235075" w:rsidRDefault="00B8777D" w:rsidP="00235075">
            <w:pPr>
              <w:widowControl w:val="0"/>
              <w:autoSpaceDE w:val="0"/>
              <w:autoSpaceDN w:val="0"/>
              <w:adjustRightInd w:val="0"/>
            </w:pPr>
            <w:r w:rsidRPr="00235075">
              <w:t xml:space="preserve">WQS  </w:t>
            </w:r>
          </w:p>
        </w:tc>
        <w:tc>
          <w:tcPr>
            <w:tcW w:w="485" w:type="dxa"/>
          </w:tcPr>
          <w:p w:rsidR="00B8777D" w:rsidRPr="00235075" w:rsidRDefault="00B8777D" w:rsidP="00235075">
            <w:pPr>
              <w:widowControl w:val="0"/>
              <w:autoSpaceDE w:val="0"/>
              <w:autoSpaceDN w:val="0"/>
              <w:adjustRightInd w:val="0"/>
            </w:pPr>
            <w:r w:rsidRPr="00235075">
              <w:t>=</w:t>
            </w:r>
          </w:p>
        </w:tc>
        <w:tc>
          <w:tcPr>
            <w:tcW w:w="6732" w:type="dxa"/>
          </w:tcPr>
          <w:p w:rsidR="00B8777D" w:rsidRPr="00235075" w:rsidRDefault="00B8777D" w:rsidP="00235075">
            <w:pPr>
              <w:widowControl w:val="0"/>
              <w:autoSpaceDE w:val="0"/>
              <w:autoSpaceDN w:val="0"/>
              <w:adjustRightInd w:val="0"/>
            </w:pPr>
            <w:r w:rsidRPr="00235075">
              <w:t xml:space="preserve">applicable total ammonia nitrogen water quality standard pursuant to Section 355.203 </w:t>
            </w:r>
          </w:p>
        </w:tc>
      </w:tr>
      <w:tr w:rsidR="00B8777D" w:rsidRPr="00235075">
        <w:tblPrEx>
          <w:tblCellMar>
            <w:top w:w="0" w:type="dxa"/>
            <w:bottom w:w="0" w:type="dxa"/>
          </w:tblCellMar>
        </w:tblPrEx>
        <w:tc>
          <w:tcPr>
            <w:tcW w:w="940" w:type="dxa"/>
          </w:tcPr>
          <w:p w:rsidR="00B8777D" w:rsidRPr="00235075" w:rsidRDefault="00B8777D" w:rsidP="00235075">
            <w:pPr>
              <w:widowControl w:val="0"/>
              <w:autoSpaceDE w:val="0"/>
              <w:autoSpaceDN w:val="0"/>
              <w:adjustRightInd w:val="0"/>
            </w:pPr>
            <w:proofErr w:type="spellStart"/>
            <w:r w:rsidRPr="00235075">
              <w:t>Q</w:t>
            </w:r>
            <w:r w:rsidRPr="00235075">
              <w:rPr>
                <w:vertAlign w:val="subscript"/>
              </w:rPr>
              <w:t>e</w:t>
            </w:r>
            <w:proofErr w:type="spellEnd"/>
            <w:r w:rsidRPr="00235075">
              <w:t xml:space="preserve"> </w:t>
            </w:r>
          </w:p>
        </w:tc>
        <w:tc>
          <w:tcPr>
            <w:tcW w:w="485" w:type="dxa"/>
          </w:tcPr>
          <w:p w:rsidR="00B8777D" w:rsidRPr="00235075" w:rsidRDefault="00B8777D" w:rsidP="00235075">
            <w:pPr>
              <w:widowControl w:val="0"/>
              <w:autoSpaceDE w:val="0"/>
              <w:autoSpaceDN w:val="0"/>
              <w:adjustRightInd w:val="0"/>
            </w:pPr>
            <w:r w:rsidRPr="00235075">
              <w:t>=</w:t>
            </w:r>
          </w:p>
        </w:tc>
        <w:tc>
          <w:tcPr>
            <w:tcW w:w="6732" w:type="dxa"/>
          </w:tcPr>
          <w:p w:rsidR="00B8777D" w:rsidRPr="00235075" w:rsidRDefault="00B8777D" w:rsidP="00235075">
            <w:pPr>
              <w:widowControl w:val="0"/>
              <w:autoSpaceDE w:val="0"/>
              <w:autoSpaceDN w:val="0"/>
              <w:adjustRightInd w:val="0"/>
            </w:pPr>
            <w:r w:rsidRPr="00235075">
              <w:t xml:space="preserve">effluent flow rate </w:t>
            </w:r>
          </w:p>
        </w:tc>
      </w:tr>
      <w:tr w:rsidR="00B8777D" w:rsidRPr="00235075">
        <w:tblPrEx>
          <w:tblCellMar>
            <w:top w:w="0" w:type="dxa"/>
            <w:bottom w:w="0" w:type="dxa"/>
          </w:tblCellMar>
        </w:tblPrEx>
        <w:tc>
          <w:tcPr>
            <w:tcW w:w="940" w:type="dxa"/>
          </w:tcPr>
          <w:p w:rsidR="00B8777D" w:rsidRPr="00235075" w:rsidRDefault="00B8777D" w:rsidP="00235075">
            <w:pPr>
              <w:widowControl w:val="0"/>
              <w:autoSpaceDE w:val="0"/>
              <w:autoSpaceDN w:val="0"/>
              <w:adjustRightInd w:val="0"/>
            </w:pPr>
            <w:proofErr w:type="spellStart"/>
            <w:r w:rsidRPr="00235075">
              <w:t>Q</w:t>
            </w:r>
            <w:r w:rsidRPr="00235075">
              <w:rPr>
                <w:vertAlign w:val="subscript"/>
              </w:rPr>
              <w:t>d</w:t>
            </w:r>
            <w:proofErr w:type="spellEnd"/>
            <w:r w:rsidRPr="00235075">
              <w:t xml:space="preserve"> </w:t>
            </w:r>
          </w:p>
        </w:tc>
        <w:tc>
          <w:tcPr>
            <w:tcW w:w="485" w:type="dxa"/>
          </w:tcPr>
          <w:p w:rsidR="00B8777D" w:rsidRPr="00235075" w:rsidRDefault="00B8777D" w:rsidP="00235075">
            <w:pPr>
              <w:widowControl w:val="0"/>
              <w:autoSpaceDE w:val="0"/>
              <w:autoSpaceDN w:val="0"/>
              <w:adjustRightInd w:val="0"/>
            </w:pPr>
            <w:r w:rsidRPr="00235075">
              <w:t>=</w:t>
            </w:r>
          </w:p>
        </w:tc>
        <w:tc>
          <w:tcPr>
            <w:tcW w:w="6732" w:type="dxa"/>
          </w:tcPr>
          <w:p w:rsidR="00B8777D" w:rsidRPr="00235075" w:rsidRDefault="00B8777D" w:rsidP="00235075">
            <w:pPr>
              <w:widowControl w:val="0"/>
              <w:autoSpaceDE w:val="0"/>
              <w:autoSpaceDN w:val="0"/>
              <w:adjustRightInd w:val="0"/>
            </w:pPr>
            <w:r w:rsidRPr="00235075">
              <w:t>allowed mixing flow rate as determined in accordance with the provisions of 35 Ill. Adm. Code 302.212(c)</w:t>
            </w:r>
          </w:p>
        </w:tc>
      </w:tr>
      <w:tr w:rsidR="00B8777D" w:rsidRPr="00235075">
        <w:tblPrEx>
          <w:tblCellMar>
            <w:top w:w="0" w:type="dxa"/>
            <w:bottom w:w="0" w:type="dxa"/>
          </w:tblCellMar>
        </w:tblPrEx>
        <w:tc>
          <w:tcPr>
            <w:tcW w:w="940" w:type="dxa"/>
          </w:tcPr>
          <w:p w:rsidR="00B8777D" w:rsidRPr="00235075" w:rsidRDefault="00B8777D" w:rsidP="00235075">
            <w:pPr>
              <w:widowControl w:val="0"/>
              <w:autoSpaceDE w:val="0"/>
              <w:autoSpaceDN w:val="0"/>
              <w:adjustRightInd w:val="0"/>
            </w:pPr>
            <w:r w:rsidRPr="00235075">
              <w:t>C</w:t>
            </w:r>
            <w:r w:rsidRPr="00235075">
              <w:rPr>
                <w:vertAlign w:val="subscript"/>
              </w:rPr>
              <w:t>d</w:t>
            </w:r>
            <w:r w:rsidRPr="00235075">
              <w:t xml:space="preserve"> </w:t>
            </w:r>
          </w:p>
        </w:tc>
        <w:tc>
          <w:tcPr>
            <w:tcW w:w="485" w:type="dxa"/>
          </w:tcPr>
          <w:p w:rsidR="00B8777D" w:rsidRPr="00235075" w:rsidRDefault="00B8777D" w:rsidP="00235075">
            <w:pPr>
              <w:widowControl w:val="0"/>
              <w:autoSpaceDE w:val="0"/>
              <w:autoSpaceDN w:val="0"/>
              <w:adjustRightInd w:val="0"/>
            </w:pPr>
            <w:r w:rsidRPr="00235075">
              <w:t>=</w:t>
            </w:r>
          </w:p>
        </w:tc>
        <w:tc>
          <w:tcPr>
            <w:tcW w:w="6732" w:type="dxa"/>
          </w:tcPr>
          <w:p w:rsidR="00B8777D" w:rsidRPr="00235075" w:rsidRDefault="00B8777D" w:rsidP="00235075">
            <w:pPr>
              <w:widowControl w:val="0"/>
              <w:autoSpaceDE w:val="0"/>
              <w:autoSpaceDN w:val="0"/>
              <w:adjustRightInd w:val="0"/>
            </w:pPr>
            <w:r w:rsidRPr="00235075">
              <w:t xml:space="preserve">background ammonia nitrogen (as N) concentration in mixing water </w:t>
            </w:r>
          </w:p>
        </w:tc>
      </w:tr>
    </w:tbl>
    <w:p w:rsidR="00E46CA0" w:rsidRDefault="00E46CA0" w:rsidP="00E46CA0">
      <w:pPr>
        <w:widowControl w:val="0"/>
        <w:autoSpaceDE w:val="0"/>
        <w:autoSpaceDN w:val="0"/>
        <w:adjustRightInd w:val="0"/>
        <w:ind w:left="1440" w:hanging="720"/>
      </w:pPr>
    </w:p>
    <w:p w:rsidR="00E46CA0" w:rsidRDefault="00E46CA0" w:rsidP="002539BA">
      <w:pPr>
        <w:widowControl w:val="0"/>
        <w:autoSpaceDE w:val="0"/>
        <w:autoSpaceDN w:val="0"/>
        <w:adjustRightInd w:val="0"/>
        <w:ind w:left="1440"/>
      </w:pPr>
      <w:r>
        <w:t xml:space="preserve">Effluent flow rate shall be selected to coincide with the critical stream flow condition used to quantify allowed dilution.  Typically this will be estimated to be the average of the lowest three months average flow rate during the previous year for domestic wastewater sources.  For industrial and other wastewater sources where flow rates are not directly correlated to climatic patterns, </w:t>
      </w:r>
      <w:proofErr w:type="spellStart"/>
      <w:r>
        <w:t>Q</w:t>
      </w:r>
      <w:r w:rsidRPr="00235075">
        <w:rPr>
          <w:vertAlign w:val="subscript"/>
        </w:rPr>
        <w:t>e</w:t>
      </w:r>
      <w:proofErr w:type="spellEnd"/>
      <w:r>
        <w:t xml:space="preserve"> will be estimated as the average of the highest three monthly average flow rates.  With either approach, </w:t>
      </w:r>
      <w:proofErr w:type="spellStart"/>
      <w:r>
        <w:t>Q</w:t>
      </w:r>
      <w:r w:rsidRPr="00235075">
        <w:rPr>
          <w:vertAlign w:val="subscript"/>
        </w:rPr>
        <w:t>e</w:t>
      </w:r>
      <w:proofErr w:type="spellEnd"/>
      <w:r>
        <w:t xml:space="preserve"> shall be modified when future flows are expected to vary significantly from historical data. </w:t>
      </w:r>
    </w:p>
    <w:p w:rsidR="0006551D" w:rsidRDefault="0006551D" w:rsidP="002539BA">
      <w:pPr>
        <w:widowControl w:val="0"/>
        <w:autoSpaceDE w:val="0"/>
        <w:autoSpaceDN w:val="0"/>
        <w:adjustRightInd w:val="0"/>
        <w:ind w:left="1440"/>
      </w:pPr>
    </w:p>
    <w:p w:rsidR="00E46CA0" w:rsidRDefault="00E46CA0" w:rsidP="00E46CA0">
      <w:pPr>
        <w:widowControl w:val="0"/>
        <w:autoSpaceDE w:val="0"/>
        <w:autoSpaceDN w:val="0"/>
        <w:adjustRightInd w:val="0"/>
        <w:ind w:left="1440" w:hanging="720"/>
      </w:pPr>
      <w:r>
        <w:t>b)</w:t>
      </w:r>
      <w:r>
        <w:tab/>
        <w:t xml:space="preserve">The reasonable potential analysis shall be completed separately for the winter and summer </w:t>
      </w:r>
      <w:r w:rsidR="008427B2">
        <w:t xml:space="preserve">periods </w:t>
      </w:r>
      <w:r>
        <w:t>and for acute</w:t>
      </w:r>
      <w:r w:rsidR="008427B2">
        <w:t>,</w:t>
      </w:r>
      <w:r>
        <w:t xml:space="preserve"> chronic </w:t>
      </w:r>
      <w:r w:rsidR="008427B2">
        <w:t xml:space="preserve">and </w:t>
      </w:r>
      <w:proofErr w:type="spellStart"/>
      <w:r w:rsidR="008427B2">
        <w:t>subchronic</w:t>
      </w:r>
      <w:proofErr w:type="spellEnd"/>
      <w:r w:rsidR="008427B2">
        <w:t xml:space="preserve"> </w:t>
      </w:r>
      <w:r>
        <w:t>water quality standards. The Agency may subdivide summer or winter periods into quarterly or monthly segments with analysis of reasonable potential corresponding to those smaller time segments in individual permit applications. WQBELs based on the acute water quality standard shall be expressed as a daily maximum</w:t>
      </w:r>
      <w:r w:rsidR="003E7829">
        <w:t xml:space="preserve">. </w:t>
      </w:r>
      <w:r>
        <w:t xml:space="preserve">WQBELs based on the chronic water quality standard shall be expressed as a monthly average. </w:t>
      </w:r>
      <w:r w:rsidR="008427B2">
        <w:t xml:space="preserve">WQBELs based on the </w:t>
      </w:r>
      <w:proofErr w:type="spellStart"/>
      <w:r w:rsidR="008427B2">
        <w:t>subchronic</w:t>
      </w:r>
      <w:proofErr w:type="spellEnd"/>
      <w:r w:rsidR="008427B2">
        <w:t xml:space="preserve"> WQS shall be expressed as a weekly average.</w:t>
      </w:r>
    </w:p>
    <w:p w:rsidR="00235075" w:rsidRDefault="00235075" w:rsidP="00E46CA0">
      <w:pPr>
        <w:widowControl w:val="0"/>
        <w:autoSpaceDE w:val="0"/>
        <w:autoSpaceDN w:val="0"/>
        <w:adjustRightInd w:val="0"/>
        <w:ind w:left="1440" w:hanging="720"/>
      </w:pPr>
    </w:p>
    <w:p w:rsidR="00235075" w:rsidRPr="00D55B37" w:rsidRDefault="00235075">
      <w:pPr>
        <w:pStyle w:val="JCARSourceNote"/>
        <w:ind w:firstLine="720"/>
      </w:pPr>
      <w:r w:rsidRPr="00D55B37">
        <w:t xml:space="preserve">(Source:  </w:t>
      </w:r>
      <w:r>
        <w:t>Amended</w:t>
      </w:r>
      <w:r w:rsidRPr="00D55B37">
        <w:t xml:space="preserve"> at 2</w:t>
      </w:r>
      <w:r>
        <w:t>7</w:t>
      </w:r>
      <w:r w:rsidRPr="00D55B37">
        <w:t xml:space="preserve"> Ill. Reg. </w:t>
      </w:r>
      <w:r w:rsidR="000E0D8D">
        <w:t>15774</w:t>
      </w:r>
      <w:r w:rsidRPr="00D55B37">
        <w:t xml:space="preserve">, effective </w:t>
      </w:r>
      <w:r w:rsidR="000E0D8D">
        <w:t>September 25, 2003</w:t>
      </w:r>
      <w:r w:rsidRPr="00D55B37">
        <w:t>)</w:t>
      </w:r>
    </w:p>
    <w:p w:rsidR="00235075" w:rsidRDefault="00235075" w:rsidP="00E46CA0">
      <w:pPr>
        <w:widowControl w:val="0"/>
        <w:autoSpaceDE w:val="0"/>
        <w:autoSpaceDN w:val="0"/>
        <w:adjustRightInd w:val="0"/>
        <w:ind w:left="1440" w:hanging="720"/>
      </w:pPr>
    </w:p>
    <w:sectPr w:rsidR="00235075" w:rsidSect="00E46C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CA0"/>
    <w:rsid w:val="0006551D"/>
    <w:rsid w:val="000B2DC0"/>
    <w:rsid w:val="000E0D8D"/>
    <w:rsid w:val="00235075"/>
    <w:rsid w:val="002539BA"/>
    <w:rsid w:val="00285A64"/>
    <w:rsid w:val="002F159C"/>
    <w:rsid w:val="003E7829"/>
    <w:rsid w:val="005455FD"/>
    <w:rsid w:val="005C3366"/>
    <w:rsid w:val="008427B2"/>
    <w:rsid w:val="00B8777D"/>
    <w:rsid w:val="00C54190"/>
    <w:rsid w:val="00E4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5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5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