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4E177" w14:textId="77777777" w:rsidR="0026345E" w:rsidRDefault="0026345E" w:rsidP="0026345E">
      <w:pPr>
        <w:widowControl w:val="0"/>
        <w:autoSpaceDE w:val="0"/>
        <w:autoSpaceDN w:val="0"/>
        <w:adjustRightInd w:val="0"/>
      </w:pPr>
    </w:p>
    <w:p w14:paraId="17FA5F69" w14:textId="77777777" w:rsidR="0026345E" w:rsidRDefault="0026345E" w:rsidP="0026345E">
      <w:pPr>
        <w:widowControl w:val="0"/>
        <w:autoSpaceDE w:val="0"/>
        <w:autoSpaceDN w:val="0"/>
        <w:adjustRightInd w:val="0"/>
      </w:pPr>
      <w:r>
        <w:rPr>
          <w:b/>
          <w:bCs/>
        </w:rPr>
        <w:t>Section 310.611  Requirements for Non-Categorical Users</w:t>
      </w:r>
      <w:r>
        <w:t xml:space="preserve"> </w:t>
      </w:r>
    </w:p>
    <w:p w14:paraId="7B2AF610" w14:textId="77777777" w:rsidR="0026345E" w:rsidRDefault="0026345E" w:rsidP="0026345E">
      <w:pPr>
        <w:widowControl w:val="0"/>
        <w:autoSpaceDE w:val="0"/>
        <w:autoSpaceDN w:val="0"/>
        <w:adjustRightInd w:val="0"/>
      </w:pPr>
    </w:p>
    <w:p w14:paraId="3A2EC97C" w14:textId="3657210F" w:rsidR="0026345E" w:rsidRPr="009D3BB7" w:rsidRDefault="0026345E" w:rsidP="0026345E">
      <w:pPr>
        <w:widowControl w:val="0"/>
        <w:autoSpaceDE w:val="0"/>
        <w:autoSpaceDN w:val="0"/>
        <w:adjustRightInd w:val="0"/>
      </w:pPr>
      <w:r>
        <w:t xml:space="preserve">The </w:t>
      </w:r>
      <w:r w:rsidR="00D83C7F">
        <w:t xml:space="preserve">Control Authority must </w:t>
      </w:r>
      <w:r>
        <w:t xml:space="preserve">require appropriate reporting from those industrial users with discharges that are not subject to categorical pretreatment standards.  Significant </w:t>
      </w:r>
      <w:r w:rsidR="000514AC">
        <w:t>non-categorical</w:t>
      </w:r>
      <w:r>
        <w:t xml:space="preserve"> industrial users </w:t>
      </w:r>
      <w:r w:rsidR="00D83C7F">
        <w:t xml:space="preserve">must </w:t>
      </w:r>
      <w:r>
        <w:t xml:space="preserve">submit to the </w:t>
      </w:r>
      <w:r w:rsidR="00D83C7F">
        <w:t xml:space="preserve">Control Authority </w:t>
      </w:r>
      <w:r>
        <w:t xml:space="preserve">at least once every six months (on dates specified by the </w:t>
      </w:r>
      <w:r w:rsidR="00D83C7F">
        <w:t>Control Authority</w:t>
      </w:r>
      <w:r>
        <w:t xml:space="preserve">) a description of the nature, concentration, and flow of the pollutants required to be reported by the </w:t>
      </w:r>
      <w:r w:rsidR="00D83C7F">
        <w:t>Control Authority</w:t>
      </w:r>
      <w:r>
        <w:t xml:space="preserve">. </w:t>
      </w:r>
      <w:r w:rsidR="00E56695">
        <w:t>If</w:t>
      </w:r>
      <w:r w:rsidR="000514AC" w:rsidRPr="005516E7">
        <w:t xml:space="preserve"> a local limit requires compliance with a best management practice or pollution prevention alternative, the industrial user must submit documentation required by the Control Authority to determine the compliance status of the industrial user.</w:t>
      </w:r>
      <w:r w:rsidR="000514AC">
        <w:t xml:space="preserve">  </w:t>
      </w:r>
      <w:r>
        <w:t xml:space="preserve">These reports </w:t>
      </w:r>
      <w:r w:rsidR="00D83C7F">
        <w:t xml:space="preserve">must </w:t>
      </w:r>
      <w:r>
        <w:t xml:space="preserve">be based on sampling and analysis performed in the period covered by the report and in accordance with the techniques described in 40 CFR 136, incorporated by reference at Section 310.107.  For this Section, "significant </w:t>
      </w:r>
      <w:r w:rsidR="000514AC">
        <w:t>non-categorical</w:t>
      </w:r>
      <w:r>
        <w:t xml:space="preserve"> industrial user" means a significant industrial user that is not subject to categorical pretreatment standards.</w:t>
      </w:r>
      <w:r w:rsidR="009D3BB7" w:rsidRPr="009D3BB7">
        <w:t xml:space="preserve">  For an industrial user for which USEPA or the Agency is the Control Authority, as of December 21, </w:t>
      </w:r>
      <w:r w:rsidR="00E56695" w:rsidRPr="003C1427">
        <w:rPr>
          <w:rFonts w:eastAsiaTheme="minorHAnsi"/>
        </w:rPr>
        <w:t>2025 or a USEPA-approved alternative date (see 40 CFR 127.24(e) or (f))</w:t>
      </w:r>
      <w:r w:rsidR="009D3BB7" w:rsidRPr="009D3BB7">
        <w:t>, all reports submitted in compliance with this Subpart F must be submitted electronically by the industrial user to the Control Authority or initial recipient, as defined in Section 310.106(b)(2), in compliance with this Subpart F and Section 310.106.</w:t>
      </w:r>
      <w:r w:rsidRPr="009D3BB7">
        <w:t xml:space="preserve"> </w:t>
      </w:r>
    </w:p>
    <w:p w14:paraId="2FF475AF" w14:textId="77777777" w:rsidR="008F4D43" w:rsidRDefault="008F4D43" w:rsidP="0026345E">
      <w:pPr>
        <w:widowControl w:val="0"/>
        <w:autoSpaceDE w:val="0"/>
        <w:autoSpaceDN w:val="0"/>
        <w:adjustRightInd w:val="0"/>
      </w:pPr>
    </w:p>
    <w:p w14:paraId="50539A08" w14:textId="77777777" w:rsidR="0026345E" w:rsidRDefault="0026345E" w:rsidP="0026345E">
      <w:pPr>
        <w:widowControl w:val="0"/>
        <w:autoSpaceDE w:val="0"/>
        <w:autoSpaceDN w:val="0"/>
        <w:adjustRightInd w:val="0"/>
      </w:pPr>
      <w:r>
        <w:t xml:space="preserve">BOARD NOTE:  Derived from 40 CFR 403.12(h). </w:t>
      </w:r>
    </w:p>
    <w:p w14:paraId="32490E7B" w14:textId="77777777" w:rsidR="0026345E" w:rsidRDefault="0026345E" w:rsidP="0026345E">
      <w:pPr>
        <w:widowControl w:val="0"/>
        <w:autoSpaceDE w:val="0"/>
        <w:autoSpaceDN w:val="0"/>
        <w:adjustRightInd w:val="0"/>
      </w:pPr>
    </w:p>
    <w:p w14:paraId="37BD5BE7" w14:textId="51CD1047" w:rsidR="000514AC" w:rsidRPr="00D55B37" w:rsidRDefault="0041154B">
      <w:pPr>
        <w:pStyle w:val="JCARSourceNote"/>
        <w:ind w:left="720"/>
      </w:pPr>
      <w:r>
        <w:t>(Source:  Amended at 4</w:t>
      </w:r>
      <w:r w:rsidR="004F5537">
        <w:t>7</w:t>
      </w:r>
      <w:r>
        <w:t xml:space="preserve"> Ill. Reg. </w:t>
      </w:r>
      <w:r w:rsidR="00EA7562">
        <w:t>5083</w:t>
      </w:r>
      <w:r>
        <w:t xml:space="preserve">, effective </w:t>
      </w:r>
      <w:r w:rsidR="00EA7562">
        <w:t>March 23, 2023</w:t>
      </w:r>
      <w:r>
        <w:t>)</w:t>
      </w:r>
    </w:p>
    <w:sectPr w:rsidR="000514AC" w:rsidRPr="00D55B37" w:rsidSect="002634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6345E"/>
    <w:rsid w:val="000514AC"/>
    <w:rsid w:val="000B2DA9"/>
    <w:rsid w:val="001005AA"/>
    <w:rsid w:val="00195D24"/>
    <w:rsid w:val="002417D3"/>
    <w:rsid w:val="0026345E"/>
    <w:rsid w:val="00295715"/>
    <w:rsid w:val="002F0325"/>
    <w:rsid w:val="003C7B65"/>
    <w:rsid w:val="00402C61"/>
    <w:rsid w:val="0041154B"/>
    <w:rsid w:val="004B520E"/>
    <w:rsid w:val="004F5537"/>
    <w:rsid w:val="005C3366"/>
    <w:rsid w:val="006F57F6"/>
    <w:rsid w:val="007B7505"/>
    <w:rsid w:val="008F4D43"/>
    <w:rsid w:val="009D3BB7"/>
    <w:rsid w:val="009D3FC2"/>
    <w:rsid w:val="00BA1A2D"/>
    <w:rsid w:val="00C729A5"/>
    <w:rsid w:val="00D0190A"/>
    <w:rsid w:val="00D83C7F"/>
    <w:rsid w:val="00E21F50"/>
    <w:rsid w:val="00E56695"/>
    <w:rsid w:val="00EA7562"/>
    <w:rsid w:val="00EE2D54"/>
    <w:rsid w:val="00F33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A637E9"/>
  <w15:docId w15:val="{7782FD42-09C3-4DB1-A220-0F209A70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83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3</cp:revision>
  <dcterms:created xsi:type="dcterms:W3CDTF">2023-03-30T21:30:00Z</dcterms:created>
  <dcterms:modified xsi:type="dcterms:W3CDTF">2023-04-06T21:19:00Z</dcterms:modified>
</cp:coreProperties>
</file>