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F9" w:rsidRDefault="00BD51F9" w:rsidP="00BD5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1F9" w:rsidRDefault="00BD51F9" w:rsidP="00BD51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218.209  Exemption From General Rule on Use of Organic Material</w:t>
      </w:r>
      <w:r>
        <w:t xml:space="preserve"> </w:t>
      </w:r>
    </w:p>
    <w:p w:rsidR="00BD51F9" w:rsidRDefault="00BD51F9" w:rsidP="00BD51F9">
      <w:pPr>
        <w:widowControl w:val="0"/>
        <w:autoSpaceDE w:val="0"/>
        <w:autoSpaceDN w:val="0"/>
        <w:adjustRightInd w:val="0"/>
      </w:pPr>
    </w:p>
    <w:p w:rsidR="00BD51F9" w:rsidRDefault="00BD51F9" w:rsidP="00BD51F9">
      <w:pPr>
        <w:widowControl w:val="0"/>
        <w:autoSpaceDE w:val="0"/>
        <w:autoSpaceDN w:val="0"/>
        <w:adjustRightInd w:val="0"/>
      </w:pPr>
      <w:r>
        <w:t xml:space="preserve">No owner or operator of a coating line subject to the limitations of Section 218.204 of this Part is required to meet the limitations of Subpart G (Section 218.301 or 218.302) of this Part, after the date by which the coating line is required to meet Section 218.204 of this Part. </w:t>
      </w:r>
    </w:p>
    <w:p w:rsidR="00BD51F9" w:rsidRDefault="00BD51F9" w:rsidP="00BD51F9">
      <w:pPr>
        <w:widowControl w:val="0"/>
        <w:autoSpaceDE w:val="0"/>
        <w:autoSpaceDN w:val="0"/>
        <w:adjustRightInd w:val="0"/>
      </w:pPr>
    </w:p>
    <w:p w:rsidR="00BD51F9" w:rsidRDefault="00BD51F9" w:rsidP="00BD51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BD51F9" w:rsidSect="00BD5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1F9"/>
    <w:rsid w:val="00463B05"/>
    <w:rsid w:val="005C3366"/>
    <w:rsid w:val="0095026C"/>
    <w:rsid w:val="00BD51F9"/>
    <w:rsid w:val="00C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