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07" w:rsidRDefault="003D4407" w:rsidP="003D44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4407" w:rsidRDefault="003D4407" w:rsidP="003D44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106.310  Burden of Proof</w:t>
      </w:r>
      <w:r>
        <w:t xml:space="preserve"> </w:t>
      </w:r>
    </w:p>
    <w:p w:rsidR="003D4407" w:rsidRDefault="003D4407" w:rsidP="003D4407">
      <w:pPr>
        <w:widowControl w:val="0"/>
        <w:autoSpaceDE w:val="0"/>
        <w:autoSpaceDN w:val="0"/>
        <w:adjustRightInd w:val="0"/>
      </w:pPr>
    </w:p>
    <w:p w:rsidR="003D4407" w:rsidRDefault="003D4407" w:rsidP="003D4407">
      <w:pPr>
        <w:widowControl w:val="0"/>
        <w:autoSpaceDE w:val="0"/>
        <w:autoSpaceDN w:val="0"/>
        <w:adjustRightInd w:val="0"/>
      </w:pPr>
      <w:r>
        <w:t xml:space="preserve">The burden of proof is on the petitioner.  The petitioner must demonstrate that: </w:t>
      </w:r>
    </w:p>
    <w:p w:rsidR="00550F17" w:rsidRDefault="00550F17" w:rsidP="003D4407">
      <w:pPr>
        <w:widowControl w:val="0"/>
        <w:autoSpaceDE w:val="0"/>
        <w:autoSpaceDN w:val="0"/>
        <w:adjustRightInd w:val="0"/>
      </w:pPr>
    </w:p>
    <w:p w:rsidR="003D4407" w:rsidRDefault="003D4407" w:rsidP="003D440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Compliance with the setback requirements of Section 14.2 or 14.3(e) of the Act would pose an arbitrary and unreasonable hardship; </w:t>
      </w:r>
    </w:p>
    <w:p w:rsidR="00550F17" w:rsidRDefault="00550F17" w:rsidP="003D4407">
      <w:pPr>
        <w:widowControl w:val="0"/>
        <w:autoSpaceDE w:val="0"/>
        <w:autoSpaceDN w:val="0"/>
        <w:adjustRightInd w:val="0"/>
        <w:ind w:left="1440" w:hanging="720"/>
      </w:pPr>
    </w:p>
    <w:p w:rsidR="003D4407" w:rsidRDefault="003D4407" w:rsidP="003D440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petitioner will utilize the best available control technology economically achievable to minimize the likelihood of contamination of the potable water supply well; </w:t>
      </w:r>
    </w:p>
    <w:p w:rsidR="00550F17" w:rsidRDefault="00550F17" w:rsidP="003D4407">
      <w:pPr>
        <w:widowControl w:val="0"/>
        <w:autoSpaceDE w:val="0"/>
        <w:autoSpaceDN w:val="0"/>
        <w:adjustRightInd w:val="0"/>
        <w:ind w:left="1440" w:hanging="720"/>
      </w:pPr>
    </w:p>
    <w:p w:rsidR="003D4407" w:rsidRDefault="003D4407" w:rsidP="003D440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maximum feasible alternative setback will be utilized; and </w:t>
      </w:r>
    </w:p>
    <w:p w:rsidR="00550F17" w:rsidRDefault="00550F17" w:rsidP="003D4407">
      <w:pPr>
        <w:widowControl w:val="0"/>
        <w:autoSpaceDE w:val="0"/>
        <w:autoSpaceDN w:val="0"/>
        <w:adjustRightInd w:val="0"/>
        <w:ind w:left="1440" w:hanging="720"/>
      </w:pPr>
    </w:p>
    <w:p w:rsidR="003D4407" w:rsidRDefault="003D4407" w:rsidP="003D440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location of the potential route will not constitute a significant hazard to the potable water supply well. </w:t>
      </w:r>
    </w:p>
    <w:sectPr w:rsidR="003D4407" w:rsidSect="003D44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4407"/>
    <w:rsid w:val="003D4407"/>
    <w:rsid w:val="00550F17"/>
    <w:rsid w:val="005A7D58"/>
    <w:rsid w:val="005B7A2C"/>
    <w:rsid w:val="005C3366"/>
    <w:rsid w:val="0071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