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80" w:rsidRDefault="00773280" w:rsidP="007732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280" w:rsidRDefault="00773280" w:rsidP="00773280">
      <w:pPr>
        <w:widowControl w:val="0"/>
        <w:autoSpaceDE w:val="0"/>
        <w:autoSpaceDN w:val="0"/>
        <w:adjustRightInd w:val="0"/>
      </w:pPr>
      <w:r>
        <w:t xml:space="preserve">AUTHORITY:  Implementing and authorized by the Uranium and Thorium Mill Tailings Control Act (see P.A. 88-638, effective September 9, 1994 [420 ILCS 42]). </w:t>
      </w:r>
    </w:p>
    <w:sectPr w:rsidR="00773280" w:rsidSect="00773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280"/>
    <w:rsid w:val="004D548D"/>
    <w:rsid w:val="005C3366"/>
    <w:rsid w:val="00773280"/>
    <w:rsid w:val="007D60B9"/>
    <w:rsid w:val="00B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Uranium and Thorium Mill Tailings Control Act (see P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Uranium and Thorium Mill Tailings Control Act (see P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