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CB" w:rsidRDefault="00226DCB" w:rsidP="00226D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DCB" w:rsidRDefault="00226DCB" w:rsidP="00226DCB">
      <w:pPr>
        <w:widowControl w:val="0"/>
        <w:autoSpaceDE w:val="0"/>
        <w:autoSpaceDN w:val="0"/>
        <w:adjustRightInd w:val="0"/>
      </w:pPr>
      <w:r>
        <w:t xml:space="preserve">SOURCE:  Adopted December 30, 1977; transferred to the Institute of Natural Resources by P.A. 80-1218, effective July 14, 1978; Institute of Natural Resources redesignated the Department of Energy and Natural Resources by P.A. 82-592, effective September 23, 1981; codified at 8 Ill. Reg. 8448; recodified from the Department of Energy and Natural Resources to the Department of Commerce and Community Affairs at 26 Ill. Reg. 6013. </w:t>
      </w:r>
    </w:p>
    <w:sectPr w:rsidR="00226DCB" w:rsidSect="00226D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DCB"/>
    <w:rsid w:val="001417FD"/>
    <w:rsid w:val="00226DCB"/>
    <w:rsid w:val="00374F39"/>
    <w:rsid w:val="005C3366"/>
    <w:rsid w:val="00B070A9"/>
    <w:rsid w:val="00B7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30, 1977; transferred to the Institute of Natural Resources by P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30, 1977; transferred to the Institute of Natural Resources by P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