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5E" w:rsidRDefault="003F245E" w:rsidP="003F2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45E" w:rsidRDefault="003F245E" w:rsidP="003F24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215AE">
        <w:rPr>
          <w:b/>
          <w:bCs/>
        </w:rPr>
        <w:t>2420</w:t>
      </w:r>
      <w:r>
        <w:rPr>
          <w:b/>
          <w:bCs/>
        </w:rPr>
        <w:t>.20  Definitions</w:t>
      </w:r>
      <w:r>
        <w:t xml:space="preserve"> </w:t>
      </w:r>
    </w:p>
    <w:p w:rsidR="003F245E" w:rsidRDefault="003F245E" w:rsidP="003F245E">
      <w:pPr>
        <w:widowControl w:val="0"/>
        <w:autoSpaceDE w:val="0"/>
        <w:autoSpaceDN w:val="0"/>
        <w:adjustRightInd w:val="0"/>
      </w:pPr>
    </w:p>
    <w:p w:rsidR="003F245E" w:rsidRDefault="003F245E" w:rsidP="0041682C">
      <w:pPr>
        <w:widowControl w:val="0"/>
        <w:autoSpaceDE w:val="0"/>
        <w:autoSpaceDN w:val="0"/>
        <w:adjustRightInd w:val="0"/>
        <w:ind w:left="1440"/>
      </w:pPr>
      <w:r>
        <w:t xml:space="preserve">"Assignment Officer" means one or more persons designated by the Chief Administrative Officer to, among other matters, conduct reviews and make recommendations concerning institutional assignments, inter-institutional transfers, security classifications and program assignments. </w:t>
      </w:r>
    </w:p>
    <w:sectPr w:rsidR="003F245E" w:rsidSect="003F2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45E"/>
    <w:rsid w:val="002A0B4B"/>
    <w:rsid w:val="002D1E1A"/>
    <w:rsid w:val="003B51B0"/>
    <w:rsid w:val="003F245E"/>
    <w:rsid w:val="0041682C"/>
    <w:rsid w:val="004215AE"/>
    <w:rsid w:val="005C3366"/>
    <w:rsid w:val="006E0B05"/>
    <w:rsid w:val="00E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15AAC1-BA49-43E0-A9AC-2DE99152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